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52649" w14:textId="77777777" w:rsidR="00113C5A" w:rsidRPr="00455A3C" w:rsidRDefault="00113C5A" w:rsidP="00F60A53">
      <w:pPr>
        <w:pStyle w:val="F2-zkladn"/>
        <w:spacing w:line="276" w:lineRule="auto"/>
        <w:rPr>
          <w:b/>
          <w:sz w:val="28"/>
          <w:szCs w:val="28"/>
        </w:rPr>
      </w:pPr>
    </w:p>
    <w:p w14:paraId="13FA7D76" w14:textId="77777777" w:rsidR="00B123FF" w:rsidRPr="00455A3C" w:rsidRDefault="003005F4" w:rsidP="00F60A53">
      <w:pPr>
        <w:pStyle w:val="F2-zkladn"/>
        <w:spacing w:line="276" w:lineRule="auto"/>
        <w:rPr>
          <w:b/>
          <w:sz w:val="28"/>
          <w:szCs w:val="28"/>
        </w:rPr>
      </w:pPr>
      <w:bookmarkStart w:id="0" w:name="_Hlk104376839"/>
      <w:bookmarkEnd w:id="0"/>
      <w:r>
        <w:rPr>
          <w:b/>
          <w:sz w:val="28"/>
          <w:szCs w:val="28"/>
        </w:rPr>
        <w:t>TISKOVÁ ZPRÁVA</w:t>
      </w:r>
    </w:p>
    <w:p w14:paraId="0BABE186" w14:textId="18838036" w:rsidR="000A2833" w:rsidRPr="00455A3C" w:rsidRDefault="00655623" w:rsidP="00F60A53">
      <w:pPr>
        <w:pStyle w:val="F2-zkladn"/>
        <w:spacing w:line="276" w:lineRule="auto"/>
        <w:rPr>
          <w:b/>
          <w:sz w:val="28"/>
          <w:szCs w:val="28"/>
        </w:rPr>
      </w:pPr>
      <w:r>
        <w:rPr>
          <w:noProof/>
        </w:rPr>
        <mc:AlternateContent>
          <mc:Choice Requires="wps">
            <w:drawing>
              <wp:inline distT="0" distB="0" distL="0" distR="0" wp14:anchorId="44AA769E" wp14:editId="1C021F9D">
                <wp:extent cx="301625" cy="301625"/>
                <wp:effectExtent l="0" t="0" r="0" b="0"/>
                <wp:docPr id="195202070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BB03E"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5BF79A5C" w14:textId="5BD8F055" w:rsidR="000C727D" w:rsidRDefault="00655623" w:rsidP="002027ED">
      <w:pPr>
        <w:pStyle w:val="F2-zkladn"/>
        <w:tabs>
          <w:tab w:val="right" w:pos="9070"/>
        </w:tabs>
        <w:spacing w:line="276" w:lineRule="auto"/>
      </w:pPr>
      <w:r>
        <w:rPr>
          <w:noProof/>
        </w:rPr>
        <mc:AlternateContent>
          <mc:Choice Requires="wps">
            <w:drawing>
              <wp:inline distT="0" distB="0" distL="0" distR="0" wp14:anchorId="2D9F2642" wp14:editId="6CB2F3D8">
                <wp:extent cx="301625" cy="301625"/>
                <wp:effectExtent l="0" t="0" r="0" b="0"/>
                <wp:docPr id="201530723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79DBB"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7A78F2">
        <w:t>1</w:t>
      </w:r>
      <w:r w:rsidR="00C54147">
        <w:t>4</w:t>
      </w:r>
      <w:r w:rsidR="005420B4" w:rsidRPr="00893890">
        <w:t>.</w:t>
      </w:r>
      <w:r w:rsidR="00954343">
        <w:t xml:space="preserve"> </w:t>
      </w:r>
      <w:r w:rsidR="007A78F2">
        <w:t>února</w:t>
      </w:r>
      <w:r w:rsidR="00A30105" w:rsidRPr="00893890">
        <w:t xml:space="preserve"> 20</w:t>
      </w:r>
      <w:r w:rsidR="00A7414F" w:rsidRPr="00893890">
        <w:t>2</w:t>
      </w:r>
      <w:r w:rsidR="007A78F2">
        <w:t>4</w:t>
      </w:r>
    </w:p>
    <w:p w14:paraId="44E99C9B" w14:textId="77777777" w:rsidR="002027ED" w:rsidRPr="002027ED" w:rsidRDefault="002027ED" w:rsidP="002027ED">
      <w:pPr>
        <w:pStyle w:val="F2-zkladn"/>
        <w:tabs>
          <w:tab w:val="right" w:pos="9070"/>
        </w:tabs>
        <w:spacing w:line="276" w:lineRule="auto"/>
      </w:pPr>
    </w:p>
    <w:p w14:paraId="5129B056" w14:textId="79D1C807" w:rsidR="00A06FDC" w:rsidRPr="00A06FDC" w:rsidRDefault="007A78F2" w:rsidP="00A06FDC">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Připraveni na resetování: </w:t>
      </w:r>
      <w:r w:rsidR="006D04FE">
        <w:rPr>
          <w:rStyle w:val="normaltextrun"/>
          <w:rFonts w:ascii="Arial" w:hAnsi="Arial" w:cs="Arial"/>
          <w:b/>
          <w:bCs/>
          <w:color w:val="000000"/>
          <w:sz w:val="28"/>
          <w:szCs w:val="28"/>
          <w:lang w:val="cs-CZ"/>
        </w:rPr>
        <w:t xml:space="preserve">Průzkum </w:t>
      </w:r>
      <w:r>
        <w:rPr>
          <w:rStyle w:val="normaltextrun"/>
          <w:rFonts w:ascii="Arial" w:hAnsi="Arial" w:cs="Arial"/>
          <w:b/>
          <w:bCs/>
          <w:color w:val="000000"/>
          <w:sz w:val="28"/>
          <w:szCs w:val="28"/>
          <w:lang w:val="cs-CZ"/>
        </w:rPr>
        <w:t xml:space="preserve">analytiků </w:t>
      </w:r>
      <w:proofErr w:type="spellStart"/>
      <w:r w:rsidR="000F75F1">
        <w:rPr>
          <w:rStyle w:val="normaltextrun"/>
          <w:rFonts w:ascii="Arial" w:hAnsi="Arial" w:cs="Arial"/>
          <w:b/>
          <w:bCs/>
          <w:color w:val="000000"/>
          <w:sz w:val="28"/>
          <w:szCs w:val="28"/>
          <w:lang w:val="cs-CZ"/>
        </w:rPr>
        <w:t>Fidelity</w:t>
      </w:r>
      <w:proofErr w:type="spellEnd"/>
      <w:r w:rsidR="000F75F1">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sidR="003005F4">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 xml:space="preserve">pro rok 2024 </w:t>
      </w:r>
    </w:p>
    <w:p w14:paraId="475EBEC4" w14:textId="749C9B6E" w:rsidR="00A06FDC" w:rsidRPr="00A06FDC" w:rsidRDefault="007A78F2" w:rsidP="00A06FDC">
      <w:pPr>
        <w:pStyle w:val="paragraph"/>
        <w:numPr>
          <w:ilvl w:val="0"/>
          <w:numId w:val="29"/>
        </w:numPr>
        <w:spacing w:after="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Poprvé od pandemie covidu si víc analytiků společnosti </w:t>
      </w:r>
      <w:proofErr w:type="spellStart"/>
      <w:r>
        <w:rPr>
          <w:rFonts w:asciiTheme="minorHAnsi" w:eastAsiaTheme="minorHAnsi" w:hAnsiTheme="minorHAnsi" w:cstheme="minorBidi"/>
          <w:b/>
          <w:lang w:val="cs-CZ" w:eastAsia="en-US"/>
        </w:rPr>
        <w:t>Fidelity</w:t>
      </w:r>
      <w:proofErr w:type="spellEnd"/>
      <w:r>
        <w:rPr>
          <w:rFonts w:asciiTheme="minorHAnsi" w:eastAsiaTheme="minorHAnsi" w:hAnsiTheme="minorHAnsi" w:cstheme="minorBidi"/>
          <w:b/>
          <w:lang w:val="cs-CZ" w:eastAsia="en-US"/>
        </w:rPr>
        <w:t xml:space="preserve"> myslí, že nákladová inflace firem v příštím roce spíše poklesne, než vzroste.</w:t>
      </w:r>
    </w:p>
    <w:p w14:paraId="18C931C8" w14:textId="0A6026BD" w:rsidR="00A06FDC" w:rsidRDefault="007A78F2" w:rsidP="00A06FDC">
      <w:pPr>
        <w:pStyle w:val="paragraph"/>
        <w:numPr>
          <w:ilvl w:val="0"/>
          <w:numId w:val="29"/>
        </w:numPr>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Analytici očekávají zlepšení ve většině odvětví v příštích 12 měsících. </w:t>
      </w:r>
    </w:p>
    <w:p w14:paraId="7987918E" w14:textId="7F5A7B29" w:rsidR="00A06FDC" w:rsidRPr="006D04FE" w:rsidRDefault="007A78F2" w:rsidP="00A06FDC">
      <w:pPr>
        <w:pStyle w:val="paragraph"/>
        <w:numPr>
          <w:ilvl w:val="0"/>
          <w:numId w:val="29"/>
        </w:numPr>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Japonsko se v roce 2024 stane světlým bodem světové ekonomiky. Očekávání růstu tržeb a zisků jsou vyšší než u kteréhokoli jiného regionu.</w:t>
      </w:r>
    </w:p>
    <w:p w14:paraId="3DA99AED" w14:textId="31958E1B" w:rsidR="00A06FDC" w:rsidRPr="00E00DBF" w:rsidRDefault="007A78F2" w:rsidP="007A78F2">
      <w:pPr>
        <w:shd w:val="clear" w:color="auto" w:fill="FFFFFF" w:themeFill="background1"/>
        <w:spacing w:line="276" w:lineRule="auto"/>
        <w:rPr>
          <w:color w:val="000000"/>
        </w:rPr>
      </w:pPr>
      <w:r>
        <w:rPr>
          <w:color w:val="000000"/>
        </w:rPr>
        <w:t xml:space="preserve">Poslední dva roky se nesly ve znamení obav z toho, jak vážně může být první trvalejší zpomalení ekonomiky od roku 2008. Podle každoročního průzkumu analytiků společnosti </w:t>
      </w:r>
      <w:proofErr w:type="spellStart"/>
      <w:r>
        <w:rPr>
          <w:color w:val="000000"/>
        </w:rPr>
        <w:t>Fidelity</w:t>
      </w:r>
      <w:proofErr w:type="spellEnd"/>
      <w:r>
        <w:rPr>
          <w:color w:val="000000"/>
        </w:rPr>
        <w:t xml:space="preserve"> International (dále jen „</w:t>
      </w:r>
      <w:proofErr w:type="spellStart"/>
      <w:r>
        <w:rPr>
          <w:color w:val="000000"/>
        </w:rPr>
        <w:t>Fidelity</w:t>
      </w:r>
      <w:proofErr w:type="spellEnd"/>
      <w:r>
        <w:rPr>
          <w:color w:val="000000"/>
        </w:rPr>
        <w:t>“) se však podmínky pro firmy, které se chystají na expanzi, ustálily. V roce 2024 stane světlým bodem světové ekonomiky Japonsko.</w:t>
      </w:r>
    </w:p>
    <w:p w14:paraId="74FCBA38" w14:textId="7356B9D2" w:rsidR="00E00DBF" w:rsidRPr="00E00DBF" w:rsidRDefault="007A78F2" w:rsidP="00E00DBF">
      <w:pPr>
        <w:shd w:val="clear" w:color="auto" w:fill="FFFFFF" w:themeFill="background1"/>
        <w:spacing w:line="276" w:lineRule="auto"/>
        <w:rPr>
          <w:color w:val="000000"/>
        </w:rPr>
      </w:pPr>
      <w:r>
        <w:rPr>
          <w:color w:val="000000"/>
        </w:rPr>
        <w:t xml:space="preserve">Analytici společnosti </w:t>
      </w:r>
      <w:proofErr w:type="spellStart"/>
      <w:r>
        <w:rPr>
          <w:color w:val="000000"/>
        </w:rPr>
        <w:t>Fidelity</w:t>
      </w:r>
      <w:proofErr w:type="spellEnd"/>
      <w:r>
        <w:rPr>
          <w:color w:val="000000"/>
        </w:rPr>
        <w:t xml:space="preserve"> absolvují každý rok více než 20 000 setkání ve firmách. Jinými slovy, v každý pracovní den každých deset minut hovoří jeden z analytiků </w:t>
      </w:r>
      <w:proofErr w:type="spellStart"/>
      <w:r>
        <w:rPr>
          <w:color w:val="000000"/>
        </w:rPr>
        <w:t>Fidelity</w:t>
      </w:r>
      <w:proofErr w:type="spellEnd"/>
      <w:r>
        <w:rPr>
          <w:color w:val="000000"/>
        </w:rPr>
        <w:t xml:space="preserve"> s někým z vedení společností. Společnost </w:t>
      </w:r>
      <w:proofErr w:type="spellStart"/>
      <w:r>
        <w:rPr>
          <w:color w:val="000000"/>
        </w:rPr>
        <w:t>Fidelity</w:t>
      </w:r>
      <w:proofErr w:type="spellEnd"/>
      <w:r>
        <w:rPr>
          <w:color w:val="000000"/>
        </w:rPr>
        <w:t xml:space="preserve"> každoročně provádí celosvětový průzkum mezi svými analytiky a zjišťuje informace o společnostech a odvětvích, které pokrývají. Suma odpovědí pak dává </w:t>
      </w:r>
      <w:r w:rsidR="002B08E1">
        <w:rPr>
          <w:color w:val="000000"/>
        </w:rPr>
        <w:t xml:space="preserve">jasný obraz o tom, jak se bude dařit různým regionům a odvětvím nejen v nadcházejícím roce. </w:t>
      </w:r>
    </w:p>
    <w:p w14:paraId="5BD818A4" w14:textId="4830604D" w:rsidR="00B64D08" w:rsidRPr="002B08E1" w:rsidRDefault="002B08E1" w:rsidP="002B08E1">
      <w:pPr>
        <w:shd w:val="clear" w:color="auto" w:fill="FFFFFF" w:themeFill="background1"/>
        <w:spacing w:line="276" w:lineRule="auto"/>
        <w:rPr>
          <w:color w:val="000000"/>
        </w:rPr>
      </w:pPr>
      <w:r>
        <w:rPr>
          <w:color w:val="000000"/>
        </w:rPr>
        <w:t xml:space="preserve">Poprvé od pandemie si více analytiků společnosti </w:t>
      </w:r>
      <w:proofErr w:type="spellStart"/>
      <w:r>
        <w:rPr>
          <w:color w:val="000000"/>
        </w:rPr>
        <w:t>Fidelity</w:t>
      </w:r>
      <w:proofErr w:type="spellEnd"/>
      <w:r>
        <w:rPr>
          <w:color w:val="000000"/>
        </w:rPr>
        <w:t xml:space="preserve"> myslí, že nákladová inflace firem v příštím roce spíše poklesne, než vzroste. </w:t>
      </w:r>
      <w:r w:rsidRPr="002B08E1">
        <w:rPr>
          <w:i/>
          <w:iCs/>
          <w:color w:val="000000"/>
        </w:rPr>
        <w:t>„Podle našich severoamerických analytiků už o inflaci nikdo nemluví. Posledním rigidním aspektem byly mzdy pracovníků, ale zdá se, že i ty se rychle normalizují,“ uvedla</w:t>
      </w:r>
      <w:r>
        <w:rPr>
          <w:color w:val="000000"/>
        </w:rPr>
        <w:t xml:space="preserve"> Gita </w:t>
      </w:r>
      <w:proofErr w:type="spellStart"/>
      <w:r>
        <w:rPr>
          <w:color w:val="000000"/>
        </w:rPr>
        <w:t>Balová</w:t>
      </w:r>
      <w:proofErr w:type="spellEnd"/>
      <w:r>
        <w:rPr>
          <w:color w:val="000000"/>
        </w:rPr>
        <w:t xml:space="preserve">, globální vedoucí oddělení výzkumu nástrojů s fixními výnosy společnosti </w:t>
      </w:r>
      <w:proofErr w:type="spellStart"/>
      <w:r>
        <w:rPr>
          <w:color w:val="000000"/>
        </w:rPr>
        <w:t>Fidelity</w:t>
      </w:r>
      <w:proofErr w:type="spellEnd"/>
      <w:r>
        <w:rPr>
          <w:color w:val="000000"/>
        </w:rPr>
        <w:t xml:space="preserve"> International. </w:t>
      </w:r>
    </w:p>
    <w:p w14:paraId="3BBF51E4" w14:textId="77777777" w:rsidR="00597C45" w:rsidRDefault="00597C45" w:rsidP="00E00DBF">
      <w:pPr>
        <w:pStyle w:val="paragraph"/>
        <w:spacing w:after="0" w:line="276" w:lineRule="auto"/>
        <w:jc w:val="both"/>
        <w:textAlignment w:val="baseline"/>
        <w:rPr>
          <w:rFonts w:ascii="Arial" w:hAnsi="Arial" w:cs="Arial"/>
          <w:b/>
          <w:bCs/>
          <w:sz w:val="20"/>
          <w:szCs w:val="20"/>
          <w:lang w:val="cs-CZ" w:eastAsia="cs-CZ"/>
        </w:rPr>
      </w:pPr>
    </w:p>
    <w:p w14:paraId="0AD9B5B0" w14:textId="77777777" w:rsidR="00597C45" w:rsidRDefault="00597C45" w:rsidP="00E00DBF">
      <w:pPr>
        <w:pStyle w:val="paragraph"/>
        <w:spacing w:after="0" w:line="276" w:lineRule="auto"/>
        <w:jc w:val="both"/>
        <w:textAlignment w:val="baseline"/>
        <w:rPr>
          <w:rFonts w:ascii="Arial" w:hAnsi="Arial" w:cs="Arial"/>
          <w:b/>
          <w:bCs/>
          <w:sz w:val="20"/>
          <w:szCs w:val="20"/>
          <w:lang w:val="cs-CZ" w:eastAsia="cs-CZ"/>
        </w:rPr>
      </w:pPr>
    </w:p>
    <w:p w14:paraId="0FB3980E" w14:textId="77777777" w:rsidR="00597C45" w:rsidRDefault="00597C45" w:rsidP="00E00DBF">
      <w:pPr>
        <w:pStyle w:val="paragraph"/>
        <w:spacing w:after="0" w:line="276" w:lineRule="auto"/>
        <w:jc w:val="both"/>
        <w:textAlignment w:val="baseline"/>
        <w:rPr>
          <w:rFonts w:ascii="Arial" w:hAnsi="Arial" w:cs="Arial"/>
          <w:b/>
          <w:bCs/>
          <w:sz w:val="20"/>
          <w:szCs w:val="20"/>
          <w:lang w:val="cs-CZ" w:eastAsia="cs-CZ"/>
        </w:rPr>
      </w:pPr>
    </w:p>
    <w:p w14:paraId="745581DF" w14:textId="77777777" w:rsidR="00597C45" w:rsidRDefault="00597C45" w:rsidP="00E00DBF">
      <w:pPr>
        <w:pStyle w:val="paragraph"/>
        <w:spacing w:after="0" w:line="276" w:lineRule="auto"/>
        <w:jc w:val="both"/>
        <w:textAlignment w:val="baseline"/>
        <w:rPr>
          <w:rFonts w:ascii="Arial" w:hAnsi="Arial" w:cs="Arial"/>
          <w:b/>
          <w:bCs/>
          <w:sz w:val="20"/>
          <w:szCs w:val="20"/>
          <w:lang w:val="cs-CZ" w:eastAsia="cs-CZ"/>
        </w:rPr>
      </w:pPr>
    </w:p>
    <w:p w14:paraId="129295FE" w14:textId="77777777" w:rsidR="00597C45" w:rsidRDefault="00597C45" w:rsidP="00E00DBF">
      <w:pPr>
        <w:pStyle w:val="paragraph"/>
        <w:spacing w:after="0" w:line="276" w:lineRule="auto"/>
        <w:jc w:val="both"/>
        <w:textAlignment w:val="baseline"/>
        <w:rPr>
          <w:rFonts w:ascii="Arial" w:hAnsi="Arial" w:cs="Arial"/>
          <w:b/>
          <w:bCs/>
          <w:sz w:val="20"/>
          <w:szCs w:val="20"/>
          <w:lang w:val="cs-CZ" w:eastAsia="cs-CZ"/>
        </w:rPr>
      </w:pPr>
    </w:p>
    <w:p w14:paraId="7F67B71D" w14:textId="77777777" w:rsidR="00597C45" w:rsidRDefault="00597C45" w:rsidP="00E00DBF">
      <w:pPr>
        <w:pStyle w:val="paragraph"/>
        <w:spacing w:after="0" w:line="276" w:lineRule="auto"/>
        <w:jc w:val="both"/>
        <w:textAlignment w:val="baseline"/>
        <w:rPr>
          <w:rFonts w:ascii="Arial" w:hAnsi="Arial" w:cs="Arial"/>
          <w:b/>
          <w:bCs/>
          <w:sz w:val="20"/>
          <w:szCs w:val="20"/>
          <w:lang w:val="cs-CZ" w:eastAsia="cs-CZ"/>
        </w:rPr>
      </w:pPr>
    </w:p>
    <w:p w14:paraId="48D8EBB2" w14:textId="1C90F084" w:rsidR="00E00DBF" w:rsidRDefault="002B08E1" w:rsidP="00E00DBF">
      <w:pPr>
        <w:pStyle w:val="paragraph"/>
        <w:spacing w:after="0" w:line="276" w:lineRule="auto"/>
        <w:jc w:val="both"/>
        <w:textAlignment w:val="baseline"/>
        <w:rPr>
          <w:rFonts w:ascii="Arial" w:hAnsi="Arial" w:cs="Arial"/>
          <w:b/>
          <w:bCs/>
          <w:sz w:val="20"/>
          <w:szCs w:val="20"/>
          <w:lang w:val="cs-CZ" w:eastAsia="cs-CZ"/>
        </w:rPr>
      </w:pPr>
      <w:r>
        <w:rPr>
          <w:rFonts w:ascii="Arial" w:hAnsi="Arial" w:cs="Arial"/>
          <w:b/>
          <w:bCs/>
          <w:sz w:val="20"/>
          <w:szCs w:val="20"/>
          <w:lang w:val="cs-CZ" w:eastAsia="cs-CZ"/>
        </w:rPr>
        <w:lastRenderedPageBreak/>
        <w:t xml:space="preserve">Graf 1: Poprvé od pandemie si víc analytiků společnosti </w:t>
      </w:r>
      <w:proofErr w:type="spellStart"/>
      <w:r>
        <w:rPr>
          <w:rFonts w:ascii="Arial" w:hAnsi="Arial" w:cs="Arial"/>
          <w:b/>
          <w:bCs/>
          <w:sz w:val="20"/>
          <w:szCs w:val="20"/>
          <w:lang w:val="cs-CZ" w:eastAsia="cs-CZ"/>
        </w:rPr>
        <w:t>Fidelity</w:t>
      </w:r>
      <w:proofErr w:type="spellEnd"/>
      <w:r>
        <w:rPr>
          <w:rFonts w:ascii="Arial" w:hAnsi="Arial" w:cs="Arial"/>
          <w:b/>
          <w:bCs/>
          <w:sz w:val="20"/>
          <w:szCs w:val="20"/>
          <w:lang w:val="cs-CZ" w:eastAsia="cs-CZ"/>
        </w:rPr>
        <w:t xml:space="preserve"> myslí, že nákladová inflace společnosti v příštím roce spíš poklesne, než aby vzrostla</w:t>
      </w:r>
    </w:p>
    <w:p w14:paraId="27C4E356" w14:textId="4752241F" w:rsidR="00597C45" w:rsidRDefault="00597C45" w:rsidP="00E00DBF">
      <w:pPr>
        <w:pStyle w:val="paragraph"/>
        <w:spacing w:after="0" w:line="276" w:lineRule="auto"/>
        <w:jc w:val="both"/>
        <w:textAlignment w:val="baseline"/>
        <w:rPr>
          <w:rFonts w:ascii="Arial" w:hAnsi="Arial" w:cs="Arial"/>
          <w:b/>
          <w:bCs/>
          <w:sz w:val="20"/>
          <w:szCs w:val="20"/>
          <w:lang w:val="cs-CZ" w:eastAsia="cs-CZ"/>
        </w:rPr>
      </w:pPr>
      <w:r w:rsidRPr="005A64EE">
        <w:rPr>
          <w:noProof/>
          <w:lang w:val="cs-CZ"/>
        </w:rPr>
        <w:drawing>
          <wp:inline distT="0" distB="0" distL="0" distR="0" wp14:anchorId="354096D9" wp14:editId="09E7D7A8">
            <wp:extent cx="5191112" cy="3019425"/>
            <wp:effectExtent l="0" t="0" r="0" b="0"/>
            <wp:docPr id="963735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8119" cy="3035134"/>
                    </a:xfrm>
                    <a:prstGeom prst="rect">
                      <a:avLst/>
                    </a:prstGeom>
                  </pic:spPr>
                </pic:pic>
              </a:graphicData>
            </a:graphic>
          </wp:inline>
        </w:drawing>
      </w:r>
    </w:p>
    <w:p w14:paraId="211A1439" w14:textId="7D459D8C" w:rsidR="00597C45" w:rsidRPr="00597C45" w:rsidRDefault="00597C45" w:rsidP="00597C45">
      <w:pPr>
        <w:spacing w:line="360" w:lineRule="auto"/>
        <w:rPr>
          <w:i/>
          <w:iCs/>
          <w:color w:val="000000"/>
          <w:sz w:val="16"/>
          <w:szCs w:val="16"/>
        </w:rPr>
      </w:pPr>
      <w:r w:rsidRPr="00597C45">
        <w:rPr>
          <w:i/>
          <w:iCs/>
          <w:color w:val="000000"/>
          <w:sz w:val="16"/>
          <w:szCs w:val="16"/>
        </w:rPr>
        <w:t xml:space="preserve">Graf ukazuje odpovědi na otázku: "Jak se podle vás změní inflační tlaky v rámci nákladové základny vašich společností v příštích 12 měsících, pokud se vůbec změní?". Analytici, kteří odpověděli "beze změny", nejsou v grafu zobrazeni. Zdroj: </w:t>
      </w:r>
      <w:proofErr w:type="spellStart"/>
      <w:r w:rsidRPr="00597C45">
        <w:rPr>
          <w:i/>
          <w:iCs/>
          <w:color w:val="000000"/>
          <w:sz w:val="16"/>
          <w:szCs w:val="16"/>
        </w:rPr>
        <w:t>Fidelity</w:t>
      </w:r>
      <w:proofErr w:type="spellEnd"/>
      <w:r w:rsidRPr="00597C45">
        <w:rPr>
          <w:i/>
          <w:iCs/>
          <w:color w:val="000000"/>
          <w:sz w:val="16"/>
          <w:szCs w:val="16"/>
        </w:rPr>
        <w:t xml:space="preserve"> International, leden 2024.</w:t>
      </w:r>
    </w:p>
    <w:p w14:paraId="065B2596" w14:textId="120654E5" w:rsidR="00E00DBF" w:rsidRPr="00E00DBF" w:rsidRDefault="00597C45" w:rsidP="00597C45">
      <w:pPr>
        <w:spacing w:line="276" w:lineRule="auto"/>
        <w:rPr>
          <w:color w:val="000000"/>
        </w:rPr>
      </w:pPr>
      <w:r>
        <w:rPr>
          <w:color w:val="000000"/>
        </w:rPr>
        <w:t>Analytici ve většině odvětví očekávají, že v letošním roce dojde ke zlepšení, přičemž podíl těch, kteří říkají, že jejich odvětví je v expanzi, se zvýšil ze současných 52 % na 61 %. Nyní jich tedy více očekává, že k tomu tak bude i za 12 měsíců.</w:t>
      </w:r>
      <w:r w:rsidR="00E00DBF" w:rsidRPr="00E00DBF">
        <w:rPr>
          <w:color w:val="000000"/>
        </w:rPr>
        <w:t xml:space="preserve"> </w:t>
      </w:r>
    </w:p>
    <w:p w14:paraId="4EE2F72C" w14:textId="59871402" w:rsidR="00E00DBF" w:rsidRDefault="00E00DBF" w:rsidP="00E00DBF">
      <w:pPr>
        <w:pStyle w:val="paragraph"/>
        <w:spacing w:after="0" w:line="276" w:lineRule="auto"/>
        <w:jc w:val="both"/>
        <w:textAlignment w:val="baseline"/>
        <w:rPr>
          <w:rFonts w:ascii="Arial" w:hAnsi="Arial" w:cs="Arial"/>
          <w:b/>
          <w:bCs/>
          <w:sz w:val="20"/>
          <w:szCs w:val="20"/>
          <w:lang w:val="cs-CZ" w:eastAsia="cs-CZ"/>
        </w:rPr>
      </w:pPr>
      <w:r>
        <w:rPr>
          <w:rFonts w:ascii="Arial" w:hAnsi="Arial" w:cs="Arial"/>
          <w:b/>
          <w:bCs/>
          <w:sz w:val="20"/>
          <w:szCs w:val="20"/>
          <w:lang w:val="cs-CZ" w:eastAsia="cs-CZ"/>
        </w:rPr>
        <w:t>Graf</w:t>
      </w:r>
      <w:r w:rsidR="00597C45">
        <w:rPr>
          <w:rFonts w:ascii="Arial" w:hAnsi="Arial" w:cs="Arial"/>
          <w:b/>
          <w:bCs/>
          <w:sz w:val="20"/>
          <w:szCs w:val="20"/>
          <w:lang w:val="cs-CZ" w:eastAsia="cs-CZ"/>
        </w:rPr>
        <w:t xml:space="preserve"> 2</w:t>
      </w:r>
      <w:r>
        <w:rPr>
          <w:rFonts w:ascii="Arial" w:hAnsi="Arial" w:cs="Arial"/>
          <w:b/>
          <w:bCs/>
          <w:sz w:val="20"/>
          <w:szCs w:val="20"/>
          <w:lang w:val="cs-CZ" w:eastAsia="cs-CZ"/>
        </w:rPr>
        <w:t xml:space="preserve">: </w:t>
      </w:r>
      <w:r w:rsidR="00597C45">
        <w:rPr>
          <w:rFonts w:ascii="Arial" w:hAnsi="Arial" w:cs="Arial"/>
          <w:b/>
          <w:bCs/>
          <w:sz w:val="20"/>
          <w:szCs w:val="20"/>
          <w:lang w:val="cs-CZ" w:eastAsia="cs-CZ"/>
        </w:rPr>
        <w:t>Fáze cyklu ve vašem odvětví za 12 měsíců?</w:t>
      </w:r>
    </w:p>
    <w:p w14:paraId="3F0D0D43" w14:textId="37FCEFC1" w:rsidR="00A06FDC" w:rsidRPr="00A06FDC" w:rsidRDefault="00597C45" w:rsidP="00A06FDC">
      <w:pPr>
        <w:pStyle w:val="paragraph"/>
        <w:spacing w:after="0" w:line="276" w:lineRule="auto"/>
        <w:jc w:val="both"/>
        <w:textAlignment w:val="baseline"/>
        <w:rPr>
          <w:rFonts w:ascii="Arial" w:hAnsi="Arial" w:cs="Arial"/>
          <w:color w:val="20242B"/>
          <w:sz w:val="20"/>
          <w:szCs w:val="20"/>
          <w:lang w:val="cs-CZ" w:eastAsia="cs-CZ"/>
        </w:rPr>
      </w:pPr>
      <w:r w:rsidRPr="005A64EE">
        <w:rPr>
          <w:noProof/>
          <w:lang w:val="cs-CZ"/>
        </w:rPr>
        <w:drawing>
          <wp:inline distT="0" distB="0" distL="0" distR="0" wp14:anchorId="7D86A3E3" wp14:editId="314A476F">
            <wp:extent cx="5731510" cy="241554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415540"/>
                    </a:xfrm>
                    <a:prstGeom prst="rect">
                      <a:avLst/>
                    </a:prstGeom>
                  </pic:spPr>
                </pic:pic>
              </a:graphicData>
            </a:graphic>
          </wp:inline>
        </w:drawing>
      </w:r>
    </w:p>
    <w:p w14:paraId="18DA2E38" w14:textId="77777777" w:rsidR="00597C45" w:rsidRPr="00597C45" w:rsidRDefault="00597C45" w:rsidP="00597C45">
      <w:pPr>
        <w:spacing w:line="360" w:lineRule="auto"/>
        <w:rPr>
          <w:i/>
          <w:iCs/>
          <w:color w:val="000000"/>
          <w:sz w:val="16"/>
          <w:szCs w:val="16"/>
        </w:rPr>
      </w:pPr>
      <w:r w:rsidRPr="00597C45">
        <w:rPr>
          <w:i/>
          <w:iCs/>
          <w:color w:val="000000"/>
          <w:sz w:val="16"/>
          <w:szCs w:val="16"/>
        </w:rPr>
        <w:t xml:space="preserve">Graf zobrazuje odpovědi na otázku: "V jaké fázi cyklu se bude vaše odvětví nacházet za 12 měsíců?" Graf ukazuje procento analytiků. Zdroj: </w:t>
      </w:r>
      <w:proofErr w:type="spellStart"/>
      <w:r w:rsidRPr="00597C45">
        <w:rPr>
          <w:i/>
          <w:iCs/>
          <w:color w:val="000000"/>
          <w:sz w:val="16"/>
          <w:szCs w:val="16"/>
        </w:rPr>
        <w:t>Fidelity</w:t>
      </w:r>
      <w:proofErr w:type="spellEnd"/>
      <w:r w:rsidRPr="00597C45">
        <w:rPr>
          <w:i/>
          <w:iCs/>
          <w:color w:val="000000"/>
          <w:sz w:val="16"/>
          <w:szCs w:val="16"/>
        </w:rPr>
        <w:t xml:space="preserve"> International, leden 2024. Průzkum byl proveden v prosinci 2023.</w:t>
      </w:r>
    </w:p>
    <w:p w14:paraId="638821F6" w14:textId="77777777" w:rsidR="00E00DBF" w:rsidRDefault="00E00DBF" w:rsidP="00E00DBF">
      <w:pPr>
        <w:pStyle w:val="paragraph"/>
        <w:spacing w:after="0" w:line="276" w:lineRule="auto"/>
        <w:jc w:val="both"/>
        <w:textAlignment w:val="baseline"/>
        <w:rPr>
          <w:rFonts w:ascii="Arial" w:hAnsi="Arial" w:cs="Arial"/>
          <w:b/>
          <w:bCs/>
          <w:sz w:val="20"/>
          <w:szCs w:val="20"/>
          <w:lang w:val="cs-CZ" w:eastAsia="cs-CZ"/>
        </w:rPr>
      </w:pPr>
    </w:p>
    <w:p w14:paraId="59BDB304" w14:textId="5F885399" w:rsidR="00E00DBF" w:rsidRPr="00597C45" w:rsidRDefault="00597C45" w:rsidP="00597C45">
      <w:pPr>
        <w:spacing w:line="276" w:lineRule="auto"/>
        <w:rPr>
          <w:color w:val="000000"/>
        </w:rPr>
      </w:pPr>
      <w:r w:rsidRPr="00597C45">
        <w:rPr>
          <w:color w:val="000000"/>
        </w:rPr>
        <w:lastRenderedPageBreak/>
        <w:t xml:space="preserve">Existuje však několik odvětví, kde odpovědi naznačují, že podmínky se mohou v průběhu roku ztížit. Analytici, kteří pokrývají severoamerické a evropské ropné a plynárenské společnosti, uvádějí pro energetický sektor nižší ceny komodit, které mohou situaci v odvětví komplikovat. Odvrácenou stranu snižování úrokových sazeb pocítí také finanční sektor. </w:t>
      </w:r>
    </w:p>
    <w:p w14:paraId="1DA7D5A4" w14:textId="60AAA96D" w:rsidR="00E00DBF" w:rsidRDefault="00E00DBF" w:rsidP="00E00DBF">
      <w:pPr>
        <w:pStyle w:val="paragraph"/>
        <w:spacing w:after="0" w:line="276" w:lineRule="auto"/>
        <w:jc w:val="both"/>
        <w:textAlignment w:val="baseline"/>
        <w:rPr>
          <w:rFonts w:ascii="Arial" w:hAnsi="Arial" w:cs="Arial"/>
          <w:b/>
          <w:bCs/>
          <w:sz w:val="20"/>
          <w:szCs w:val="20"/>
          <w:lang w:val="cs-CZ" w:eastAsia="cs-CZ"/>
        </w:rPr>
      </w:pPr>
      <w:r>
        <w:rPr>
          <w:rFonts w:ascii="Arial" w:hAnsi="Arial" w:cs="Arial"/>
          <w:b/>
          <w:bCs/>
          <w:sz w:val="20"/>
          <w:szCs w:val="20"/>
          <w:lang w:val="cs-CZ" w:eastAsia="cs-CZ"/>
        </w:rPr>
        <w:t>Graf</w:t>
      </w:r>
      <w:r w:rsidR="00597C45">
        <w:rPr>
          <w:rFonts w:ascii="Arial" w:hAnsi="Arial" w:cs="Arial"/>
          <w:b/>
          <w:bCs/>
          <w:sz w:val="20"/>
          <w:szCs w:val="20"/>
          <w:lang w:val="cs-CZ" w:eastAsia="cs-CZ"/>
        </w:rPr>
        <w:t xml:space="preserve"> 3</w:t>
      </w:r>
      <w:r>
        <w:rPr>
          <w:rFonts w:ascii="Arial" w:hAnsi="Arial" w:cs="Arial"/>
          <w:b/>
          <w:bCs/>
          <w:sz w:val="20"/>
          <w:szCs w:val="20"/>
          <w:lang w:val="cs-CZ" w:eastAsia="cs-CZ"/>
        </w:rPr>
        <w:t xml:space="preserve">: </w:t>
      </w:r>
      <w:r w:rsidR="00597C45">
        <w:rPr>
          <w:rFonts w:ascii="Arial" w:hAnsi="Arial" w:cs="Arial"/>
          <w:b/>
          <w:bCs/>
          <w:sz w:val="20"/>
          <w:szCs w:val="20"/>
          <w:lang w:val="cs-CZ" w:eastAsia="cs-CZ"/>
        </w:rPr>
        <w:t xml:space="preserve">Fáze cyklu </w:t>
      </w:r>
      <w:r w:rsidR="00597C45" w:rsidRPr="00597C45">
        <w:rPr>
          <w:rFonts w:ascii="Arial" w:hAnsi="Arial" w:cs="Arial"/>
          <w:b/>
          <w:bCs/>
          <w:sz w:val="20"/>
          <w:szCs w:val="20"/>
          <w:lang w:val="cs-CZ" w:eastAsia="cs-CZ"/>
        </w:rPr>
        <w:t>– v ohrožení</w:t>
      </w:r>
    </w:p>
    <w:p w14:paraId="3A1FF16D" w14:textId="4FC45118" w:rsidR="00597C45" w:rsidRPr="00597C45" w:rsidRDefault="00597C45" w:rsidP="00597C45">
      <w:pPr>
        <w:spacing w:line="360" w:lineRule="auto"/>
        <w:rPr>
          <w:i/>
          <w:iCs/>
          <w:color w:val="000000"/>
          <w:sz w:val="16"/>
          <w:szCs w:val="16"/>
        </w:rPr>
      </w:pPr>
      <w:r w:rsidRPr="005A64EE">
        <w:rPr>
          <w:noProof/>
        </w:rPr>
        <w:drawing>
          <wp:inline distT="0" distB="0" distL="0" distR="0" wp14:anchorId="45F0F8CC" wp14:editId="4885921C">
            <wp:extent cx="5657850" cy="2578980"/>
            <wp:effectExtent l="0" t="0" r="0" b="12065"/>
            <wp:docPr id="7" name="Chart 7">
              <a:extLst xmlns:a="http://schemas.openxmlformats.org/drawingml/2006/main">
                <a:ext uri="{FF2B5EF4-FFF2-40B4-BE49-F238E27FC236}">
                  <a16:creationId xmlns:a16="http://schemas.microsoft.com/office/drawing/2014/main" id="{D94D0C41-48A4-4A00-8094-598839B4F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97C45">
        <w:rPr>
          <w:rFonts w:eastAsiaTheme="minorHAnsi"/>
          <w:i/>
          <w:iCs/>
          <w:sz w:val="16"/>
          <w:szCs w:val="16"/>
          <w:lang w:eastAsia="en-US"/>
        </w:rPr>
        <w:t xml:space="preserve"> </w:t>
      </w:r>
      <w:r w:rsidRPr="00597C45">
        <w:rPr>
          <w:i/>
          <w:iCs/>
          <w:color w:val="000000"/>
          <w:sz w:val="16"/>
          <w:szCs w:val="16"/>
        </w:rPr>
        <w:t xml:space="preserve">Graf popisuje odpovědi na otázky: "V jaké fázi cyklu se vaše odvětví nachází v současné době?" a "V jaké fázi cyklu se bude vaše odvětví nacházet za 12 měsíců?". Graf ukazuje procento analytiků. Zdroj: </w:t>
      </w:r>
      <w:proofErr w:type="spellStart"/>
      <w:r w:rsidRPr="00597C45">
        <w:rPr>
          <w:i/>
          <w:iCs/>
          <w:color w:val="000000"/>
          <w:sz w:val="16"/>
          <w:szCs w:val="16"/>
        </w:rPr>
        <w:t>Fidelity</w:t>
      </w:r>
      <w:proofErr w:type="spellEnd"/>
      <w:r w:rsidRPr="00597C45">
        <w:rPr>
          <w:i/>
          <w:iCs/>
          <w:color w:val="000000"/>
          <w:sz w:val="16"/>
          <w:szCs w:val="16"/>
        </w:rPr>
        <w:t xml:space="preserve"> International, leden 2024</w:t>
      </w:r>
    </w:p>
    <w:p w14:paraId="1BAF5852" w14:textId="47463117" w:rsidR="00E00DBF" w:rsidRPr="00597C45" w:rsidRDefault="00597C45" w:rsidP="00597C45">
      <w:pPr>
        <w:spacing w:line="276" w:lineRule="auto"/>
        <w:rPr>
          <w:i/>
          <w:iCs/>
          <w:color w:val="000000"/>
        </w:rPr>
      </w:pPr>
      <w:r w:rsidRPr="00597C45">
        <w:rPr>
          <w:color w:val="000000"/>
        </w:rPr>
        <w:t xml:space="preserve">Gita Bal dodává: </w:t>
      </w:r>
      <w:r w:rsidRPr="00597C45">
        <w:rPr>
          <w:i/>
          <w:iCs/>
          <w:color w:val="000000"/>
        </w:rPr>
        <w:t xml:space="preserve">"Rok, kdy se budou konat volby v mnoha zemích po celém světě, zvyšuje současné geopolitické obavy. Přesto jsou setkání s manažerskými týmy překvapivě pozitivní, pokud jde o výhled na rok 2024, a to navzdory bezprostředním rizikům na obzoru. Přesto podle našich analytiků energetika a finanční sektory zaznamenaly nižší skóre. Nižší ceny komodit a vyhlídka poklesu úrokových sazeb očividně ovlivňují celkový sentiment."  </w:t>
      </w:r>
    </w:p>
    <w:p w14:paraId="204317F3" w14:textId="288BD022" w:rsidR="00E00DBF" w:rsidRDefault="00597C45" w:rsidP="00E00DBF">
      <w:pPr>
        <w:pStyle w:val="F2-zkladn"/>
      </w:pPr>
      <w:r>
        <w:rPr>
          <w:b/>
          <w:bCs/>
        </w:rPr>
        <w:t>Optimismus pramení z reflace japonské ekonomiky</w:t>
      </w:r>
    </w:p>
    <w:p w14:paraId="1188692D" w14:textId="3CA0C45F" w:rsidR="002535CC" w:rsidRPr="00077E7E" w:rsidRDefault="00077E7E" w:rsidP="00077E7E">
      <w:pPr>
        <w:shd w:val="clear" w:color="auto" w:fill="FFFFFF" w:themeFill="background1"/>
        <w:spacing w:line="276" w:lineRule="auto"/>
        <w:rPr>
          <w:color w:val="000000"/>
        </w:rPr>
      </w:pPr>
      <w:r w:rsidRPr="00077E7E">
        <w:rPr>
          <w:color w:val="000000"/>
        </w:rPr>
        <w:t>Japonsko se má v roce 2024 stát světlým hospodářským místem. Očekávání růstu tržeb a zisků v roce 2024 jsou pro Japonsko vyšší než pro jakýkoli jiný region. Analytici, kteří se Japonskem zabývají, jsou také velmi optimističtí ohledně rozšiřování ziskových marží.</w:t>
      </w:r>
    </w:p>
    <w:p w14:paraId="201912E3" w14:textId="77777777" w:rsidR="00077E7E" w:rsidRPr="00077E7E" w:rsidRDefault="00077E7E" w:rsidP="00077E7E">
      <w:pPr>
        <w:spacing w:line="276" w:lineRule="auto"/>
        <w:rPr>
          <w:color w:val="000000"/>
        </w:rPr>
      </w:pPr>
      <w:r w:rsidRPr="00077E7E">
        <w:rPr>
          <w:color w:val="000000"/>
        </w:rPr>
        <w:t>Japonsko vede, i pokud jde o očekávání ohledně kapitálových výdajů, návratnost kapitálu, zvyšování dividend, schopnosti přenést náklady na spotřebitele a to, zda se japonské firmy příští rok touto dobou dostanou do expanzní fáze hospodářského cyklu.</w:t>
      </w:r>
    </w:p>
    <w:p w14:paraId="57F60504" w14:textId="77777777" w:rsidR="00077E7E" w:rsidRDefault="00077E7E" w:rsidP="00077E7E">
      <w:pPr>
        <w:pStyle w:val="paragraph"/>
        <w:spacing w:after="0" w:line="276" w:lineRule="auto"/>
        <w:jc w:val="both"/>
        <w:textAlignment w:val="baseline"/>
        <w:rPr>
          <w:rFonts w:ascii="Arial" w:hAnsi="Arial" w:cs="Arial"/>
          <w:b/>
          <w:bCs/>
          <w:sz w:val="20"/>
          <w:szCs w:val="20"/>
          <w:lang w:val="cs-CZ" w:eastAsia="cs-CZ"/>
        </w:rPr>
      </w:pPr>
    </w:p>
    <w:p w14:paraId="5DB94275" w14:textId="77777777" w:rsidR="00077E7E" w:rsidRDefault="00077E7E" w:rsidP="00077E7E">
      <w:pPr>
        <w:pStyle w:val="paragraph"/>
        <w:spacing w:after="0" w:line="276" w:lineRule="auto"/>
        <w:jc w:val="both"/>
        <w:textAlignment w:val="baseline"/>
        <w:rPr>
          <w:rFonts w:ascii="Arial" w:hAnsi="Arial" w:cs="Arial"/>
          <w:b/>
          <w:bCs/>
          <w:sz w:val="20"/>
          <w:szCs w:val="20"/>
          <w:lang w:val="cs-CZ" w:eastAsia="cs-CZ"/>
        </w:rPr>
      </w:pPr>
    </w:p>
    <w:p w14:paraId="1203CBF6" w14:textId="77777777" w:rsidR="00077E7E" w:rsidRDefault="00077E7E" w:rsidP="00077E7E">
      <w:pPr>
        <w:pStyle w:val="paragraph"/>
        <w:spacing w:after="0" w:line="276" w:lineRule="auto"/>
        <w:jc w:val="both"/>
        <w:textAlignment w:val="baseline"/>
        <w:rPr>
          <w:rFonts w:ascii="Arial" w:hAnsi="Arial" w:cs="Arial"/>
          <w:b/>
          <w:bCs/>
          <w:sz w:val="20"/>
          <w:szCs w:val="20"/>
          <w:lang w:val="cs-CZ" w:eastAsia="cs-CZ"/>
        </w:rPr>
      </w:pPr>
    </w:p>
    <w:p w14:paraId="41CEDBF4" w14:textId="77777777" w:rsidR="00077E7E" w:rsidRDefault="00077E7E" w:rsidP="00077E7E">
      <w:pPr>
        <w:pStyle w:val="paragraph"/>
        <w:spacing w:after="0" w:line="276" w:lineRule="auto"/>
        <w:jc w:val="both"/>
        <w:textAlignment w:val="baseline"/>
        <w:rPr>
          <w:rFonts w:ascii="Arial" w:hAnsi="Arial" w:cs="Arial"/>
          <w:b/>
          <w:bCs/>
          <w:sz w:val="20"/>
          <w:szCs w:val="20"/>
          <w:lang w:val="cs-CZ" w:eastAsia="cs-CZ"/>
        </w:rPr>
      </w:pPr>
    </w:p>
    <w:p w14:paraId="1C6E7842" w14:textId="77777777" w:rsidR="00077E7E" w:rsidRDefault="00077E7E" w:rsidP="00077E7E">
      <w:pPr>
        <w:pStyle w:val="paragraph"/>
        <w:spacing w:after="0" w:line="276" w:lineRule="auto"/>
        <w:jc w:val="both"/>
        <w:textAlignment w:val="baseline"/>
        <w:rPr>
          <w:rFonts w:ascii="Arial" w:hAnsi="Arial" w:cs="Arial"/>
          <w:b/>
          <w:bCs/>
          <w:sz w:val="20"/>
          <w:szCs w:val="20"/>
          <w:lang w:val="cs-CZ" w:eastAsia="cs-CZ"/>
        </w:rPr>
      </w:pPr>
    </w:p>
    <w:p w14:paraId="7DBC0423" w14:textId="70A952A5" w:rsidR="00077E7E" w:rsidRDefault="00077E7E" w:rsidP="00077E7E">
      <w:pPr>
        <w:pStyle w:val="paragraph"/>
        <w:spacing w:after="0" w:line="276" w:lineRule="auto"/>
        <w:jc w:val="both"/>
        <w:textAlignment w:val="baseline"/>
        <w:rPr>
          <w:rFonts w:ascii="Arial" w:hAnsi="Arial" w:cs="Arial"/>
          <w:b/>
          <w:bCs/>
          <w:sz w:val="20"/>
          <w:szCs w:val="20"/>
          <w:lang w:val="cs-CZ" w:eastAsia="cs-CZ"/>
        </w:rPr>
      </w:pPr>
      <w:r w:rsidRPr="005A64EE">
        <w:rPr>
          <w:noProof/>
          <w:lang w:val="cs-CZ"/>
        </w:rPr>
        <w:lastRenderedPageBreak/>
        <w:drawing>
          <wp:anchor distT="0" distB="0" distL="114300" distR="114300" simplePos="0" relativeHeight="251658240" behindDoc="0" locked="0" layoutInCell="1" allowOverlap="1" wp14:anchorId="1E784983" wp14:editId="663750AA">
            <wp:simplePos x="0" y="0"/>
            <wp:positionH relativeFrom="column">
              <wp:posOffset>-46990</wp:posOffset>
            </wp:positionH>
            <wp:positionV relativeFrom="paragraph">
              <wp:posOffset>464820</wp:posOffset>
            </wp:positionV>
            <wp:extent cx="5391150" cy="3248666"/>
            <wp:effectExtent l="0" t="0" r="0"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391150" cy="3248666"/>
                    </a:xfrm>
                    <a:prstGeom prst="rect">
                      <a:avLst/>
                    </a:prstGeom>
                  </pic:spPr>
                </pic:pic>
              </a:graphicData>
            </a:graphic>
          </wp:anchor>
        </w:drawing>
      </w:r>
      <w:r>
        <w:rPr>
          <w:rFonts w:ascii="Arial" w:hAnsi="Arial" w:cs="Arial"/>
          <w:b/>
          <w:bCs/>
          <w:sz w:val="20"/>
          <w:szCs w:val="20"/>
          <w:lang w:val="cs-CZ" w:eastAsia="cs-CZ"/>
        </w:rPr>
        <w:t>Graf 4: 88 % analytiků zabývajících se Japonskem očekává, že jejich odvětví budou za 12 měsíců v expanzi</w:t>
      </w:r>
    </w:p>
    <w:p w14:paraId="42E43155" w14:textId="77777777" w:rsidR="00077E7E" w:rsidRPr="00077E7E" w:rsidRDefault="00077E7E" w:rsidP="00077E7E">
      <w:pPr>
        <w:spacing w:line="360" w:lineRule="auto"/>
        <w:rPr>
          <w:i/>
          <w:iCs/>
          <w:color w:val="000000"/>
          <w:sz w:val="16"/>
          <w:szCs w:val="16"/>
        </w:rPr>
      </w:pPr>
      <w:r w:rsidRPr="00077E7E">
        <w:rPr>
          <w:i/>
          <w:iCs/>
          <w:color w:val="000000"/>
          <w:sz w:val="16"/>
          <w:szCs w:val="16"/>
        </w:rPr>
        <w:t xml:space="preserve">Graf ukazuje procento odpovědí analytiků na otázku: "V jaké fázi cyklu bude váš sektor za 12 měsíců?". Zdroj: </w:t>
      </w:r>
      <w:proofErr w:type="spellStart"/>
      <w:r w:rsidRPr="00077E7E">
        <w:rPr>
          <w:i/>
          <w:iCs/>
          <w:color w:val="000000"/>
          <w:sz w:val="16"/>
          <w:szCs w:val="16"/>
        </w:rPr>
        <w:t>Fidelity</w:t>
      </w:r>
      <w:proofErr w:type="spellEnd"/>
      <w:r w:rsidRPr="00077E7E">
        <w:rPr>
          <w:i/>
          <w:iCs/>
          <w:color w:val="000000"/>
          <w:sz w:val="16"/>
          <w:szCs w:val="16"/>
        </w:rPr>
        <w:t xml:space="preserve"> International, leden 2024.</w:t>
      </w:r>
    </w:p>
    <w:p w14:paraId="15DD5CFC" w14:textId="77777777" w:rsidR="00077E7E" w:rsidRPr="00077E7E" w:rsidRDefault="00077E7E" w:rsidP="00077E7E">
      <w:pPr>
        <w:spacing w:line="276" w:lineRule="auto"/>
        <w:rPr>
          <w:color w:val="000000"/>
        </w:rPr>
      </w:pPr>
      <w:r w:rsidRPr="00077E7E">
        <w:rPr>
          <w:color w:val="000000"/>
        </w:rPr>
        <w:t>Optimismus kontrastuje s vyšší mírou opatrnosti v našem předchozím ročním průzkumu provedeném ke konci roku 2022. Například téměř třetina japonských analytiků tehdy uvedla, že ředitelé společností, které pokrývají, neočekávají v roce 2023 růst zisků, což bylo nejpesimističtější ze všech regionů s výjimkou regionu EMEA/Latinská Amerika. V aktuálním průzkumu všichni japonští analytici uvedli, že generální ředitelé růst zisků očekávají.</w:t>
      </w:r>
    </w:p>
    <w:p w14:paraId="48AC0994" w14:textId="77777777" w:rsidR="00077E7E" w:rsidRPr="00077E7E" w:rsidRDefault="00077E7E" w:rsidP="00077E7E">
      <w:pPr>
        <w:spacing w:line="276" w:lineRule="auto"/>
        <w:rPr>
          <w:i/>
          <w:iCs/>
          <w:color w:val="000000"/>
        </w:rPr>
      </w:pPr>
      <w:r w:rsidRPr="00077E7E">
        <w:rPr>
          <w:color w:val="000000"/>
        </w:rPr>
        <w:t xml:space="preserve">Gity </w:t>
      </w:r>
      <w:proofErr w:type="spellStart"/>
      <w:r w:rsidRPr="00077E7E">
        <w:rPr>
          <w:color w:val="000000"/>
        </w:rPr>
        <w:t>Balové</w:t>
      </w:r>
      <w:proofErr w:type="spellEnd"/>
      <w:r w:rsidRPr="00077E7E">
        <w:rPr>
          <w:color w:val="000000"/>
        </w:rPr>
        <w:t xml:space="preserve"> k tomu podotýká: </w:t>
      </w:r>
      <w:r w:rsidRPr="00077E7E">
        <w:rPr>
          <w:i/>
          <w:iCs/>
          <w:color w:val="000000"/>
        </w:rPr>
        <w:t>"Z velké části k tomuto optimismu existuje přímý důvod. Japonská ekonomika se konečně vymanila z více než dvacetileté recese a stagnace a objevují se povzbudivé známky rozsáhlého růstu cen. Zatímco inflace byla v posledních několika letech ve většině zemí světa značným problémem, v Japonsku je to nyní dobrý problém."</w:t>
      </w:r>
    </w:p>
    <w:p w14:paraId="3981BC45" w14:textId="55B0C235" w:rsidR="00077E7E" w:rsidRDefault="00077E7E" w:rsidP="00077E7E">
      <w:pPr>
        <w:pStyle w:val="F2-zkladn"/>
      </w:pPr>
      <w:r>
        <w:rPr>
          <w:b/>
          <w:bCs/>
        </w:rPr>
        <w:t xml:space="preserve">Šedá </w:t>
      </w:r>
      <w:proofErr w:type="spellStart"/>
      <w:r>
        <w:rPr>
          <w:b/>
          <w:bCs/>
        </w:rPr>
        <w:t>labuťátka</w:t>
      </w:r>
      <w:proofErr w:type="spellEnd"/>
      <w:r>
        <w:rPr>
          <w:b/>
          <w:bCs/>
        </w:rPr>
        <w:t>?</w:t>
      </w:r>
    </w:p>
    <w:p w14:paraId="0C0A8F23" w14:textId="77777777" w:rsidR="00077E7E" w:rsidRPr="00077E7E" w:rsidRDefault="00077E7E" w:rsidP="00077E7E">
      <w:pPr>
        <w:spacing w:line="276" w:lineRule="auto"/>
        <w:rPr>
          <w:color w:val="000000"/>
        </w:rPr>
      </w:pPr>
      <w:r w:rsidRPr="00077E7E">
        <w:rPr>
          <w:color w:val="000000"/>
        </w:rPr>
        <w:t>V roce 2024 se koná velké množství voleb v různých zemích světa, přičemž k volbám může jít víc lidí než v kterémkoli jiném roce v historii. To vytváří riziko narušení volebního procesu. Jedním z nejpozoruhodnějších zjištění průzkumu však je, že většina analytiků (65 %) zjistila, že jejich společnosti o volbách vůbec nemluví.</w:t>
      </w:r>
    </w:p>
    <w:p w14:paraId="161A5A61" w14:textId="77777777" w:rsidR="00077E7E" w:rsidRPr="00077E7E" w:rsidRDefault="00077E7E" w:rsidP="00077E7E">
      <w:pPr>
        <w:spacing w:line="276" w:lineRule="auto"/>
        <w:rPr>
          <w:color w:val="000000"/>
        </w:rPr>
      </w:pPr>
      <w:r w:rsidRPr="00077E7E">
        <w:rPr>
          <w:color w:val="000000"/>
        </w:rPr>
        <w:t xml:space="preserve">Z těch, které volby komentují, nepanuje shoda, jak tato rizika hodnotit. Mnohé se odvíjí od konkrétních scénářů v jednotlivých odvětvích. Pouze 28 procent všech dotázaných analytiků společnosti </w:t>
      </w:r>
      <w:proofErr w:type="spellStart"/>
      <w:r w:rsidRPr="00077E7E">
        <w:rPr>
          <w:color w:val="000000"/>
        </w:rPr>
        <w:t>Fidelity</w:t>
      </w:r>
      <w:proofErr w:type="spellEnd"/>
      <w:r w:rsidRPr="00077E7E">
        <w:rPr>
          <w:color w:val="000000"/>
        </w:rPr>
        <w:t xml:space="preserve"> uvedlo, že současná geopolitická situace zasahuje do investičních plánů, což je nejmenší procento analytiků od roku 2017, kdy jsme tuto otázku začali pokládat. </w:t>
      </w:r>
    </w:p>
    <w:p w14:paraId="26403BC1" w14:textId="50DE066D" w:rsidR="00A06FDC" w:rsidRDefault="00A06FDC" w:rsidP="00A06FDC">
      <w:pPr>
        <w:pStyle w:val="F2-zkladn"/>
      </w:pPr>
    </w:p>
    <w:p w14:paraId="4F9813C4" w14:textId="06F4BDA4" w:rsidR="002535CC" w:rsidRDefault="002535CC" w:rsidP="00A06FDC">
      <w:pPr>
        <w:pStyle w:val="F2-zkladn"/>
      </w:pPr>
    </w:p>
    <w:p w14:paraId="2FA7F367" w14:textId="0C9495C0" w:rsidR="002535CC" w:rsidRDefault="00077E7E" w:rsidP="00A06FDC">
      <w:pPr>
        <w:pStyle w:val="F2-zkladn"/>
        <w:rPr>
          <w:b/>
          <w:bCs/>
        </w:rPr>
      </w:pPr>
      <w:r w:rsidRPr="005A64EE">
        <w:rPr>
          <w:noProof/>
        </w:rPr>
        <w:lastRenderedPageBreak/>
        <w:drawing>
          <wp:anchor distT="0" distB="0" distL="114300" distR="114300" simplePos="0" relativeHeight="251659264" behindDoc="0" locked="0" layoutInCell="1" allowOverlap="1" wp14:anchorId="2CD73B88" wp14:editId="6BD651D0">
            <wp:simplePos x="0" y="0"/>
            <wp:positionH relativeFrom="column">
              <wp:posOffset>-62230</wp:posOffset>
            </wp:positionH>
            <wp:positionV relativeFrom="paragraph">
              <wp:posOffset>320040</wp:posOffset>
            </wp:positionV>
            <wp:extent cx="5207000" cy="3124200"/>
            <wp:effectExtent l="0" t="0" r="12700" b="0"/>
            <wp:wrapTopAndBottom/>
            <wp:docPr id="11" name="Chart 11">
              <a:extLst xmlns:a="http://schemas.openxmlformats.org/drawingml/2006/main">
                <a:ext uri="{FF2B5EF4-FFF2-40B4-BE49-F238E27FC236}">
                  <a16:creationId xmlns:a16="http://schemas.microsoft.com/office/drawing/2014/main" id="{D74D51B5-DDD0-C993-A6A5-1AB4B76FB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b/>
          <w:bCs/>
        </w:rPr>
        <w:t>Graf 5: Jak geopolitika ovlivní strategické investiční plány společností, které pokrýváte?</w:t>
      </w:r>
    </w:p>
    <w:p w14:paraId="19D49DF3" w14:textId="77777777" w:rsidR="00077E7E" w:rsidRPr="00077E7E" w:rsidRDefault="00077E7E" w:rsidP="00077E7E">
      <w:pPr>
        <w:spacing w:line="360" w:lineRule="auto"/>
        <w:rPr>
          <w:i/>
          <w:iCs/>
          <w:color w:val="000000"/>
          <w:sz w:val="16"/>
          <w:szCs w:val="16"/>
        </w:rPr>
      </w:pPr>
      <w:r w:rsidRPr="00077E7E">
        <w:rPr>
          <w:i/>
          <w:iCs/>
          <w:color w:val="000000"/>
          <w:sz w:val="16"/>
          <w:szCs w:val="16"/>
        </w:rPr>
        <w:t xml:space="preserve">Graf ukazuje odpovědi na otázku: "Do jaké míry ovlivňuje geopolitická situace strategické investiční plány (kapitálové výdaje a fúze a akvizice) společností, které pokrýváte?" Graf ukazuje procento analytiků, kteří uvedli, že dopad bude pozitivní nebo negativní. Analytici, kteří odpověděli "žádný dopad", nejsou v grafu zobrazeni. Zdroj: </w:t>
      </w:r>
      <w:proofErr w:type="spellStart"/>
      <w:r w:rsidRPr="00077E7E">
        <w:rPr>
          <w:i/>
          <w:iCs/>
          <w:color w:val="000000"/>
          <w:sz w:val="16"/>
          <w:szCs w:val="16"/>
        </w:rPr>
        <w:t>Fidelity</w:t>
      </w:r>
      <w:proofErr w:type="spellEnd"/>
      <w:r w:rsidRPr="00077E7E">
        <w:rPr>
          <w:i/>
          <w:iCs/>
          <w:color w:val="000000"/>
          <w:sz w:val="16"/>
          <w:szCs w:val="16"/>
        </w:rPr>
        <w:t xml:space="preserve"> International 2024.</w:t>
      </w:r>
    </w:p>
    <w:p w14:paraId="66677216" w14:textId="60D07041" w:rsidR="00077E7E" w:rsidRDefault="00077E7E" w:rsidP="00077E7E">
      <w:pPr>
        <w:spacing w:line="276" w:lineRule="auto"/>
        <w:rPr>
          <w:color w:val="000000"/>
        </w:rPr>
      </w:pPr>
      <w:r w:rsidRPr="00077E7E">
        <w:rPr>
          <w:i/>
          <w:iCs/>
          <w:color w:val="000000"/>
        </w:rPr>
        <w:t>"Konec éry nulových sazeb vždy přinášel napětí. Již nyní se nacházíme v období, kdy si firmy utahují opasky, poptávka se dostává pod větší tlak a klesá cenová síla. Letošní průzkum však nabízí jasné známky toho, že ať už zpomalení dopadne jakkoli, pro většinu firem se stav resetuje a v další fázi se společnosti spíše pozvednou, než aby spadly dolů</w:t>
      </w:r>
      <w:r>
        <w:rPr>
          <w:i/>
          <w:iCs/>
          <w:color w:val="000000"/>
        </w:rPr>
        <w:t>,</w:t>
      </w:r>
      <w:r w:rsidRPr="00077E7E">
        <w:rPr>
          <w:i/>
          <w:iCs/>
          <w:color w:val="000000"/>
        </w:rPr>
        <w:t>"</w:t>
      </w:r>
      <w:r>
        <w:rPr>
          <w:i/>
          <w:iCs/>
          <w:color w:val="000000"/>
        </w:rPr>
        <w:t xml:space="preserve"> </w:t>
      </w:r>
      <w:r w:rsidR="00A30E5F" w:rsidRPr="00A30E5F">
        <w:rPr>
          <w:color w:val="000000"/>
        </w:rPr>
        <w:t xml:space="preserve">uzavírá Gita </w:t>
      </w:r>
      <w:proofErr w:type="spellStart"/>
      <w:r w:rsidR="00A30E5F" w:rsidRPr="00A30E5F">
        <w:rPr>
          <w:color w:val="000000"/>
        </w:rPr>
        <w:t>Balová</w:t>
      </w:r>
      <w:proofErr w:type="spellEnd"/>
      <w:r w:rsidR="00A30E5F" w:rsidRPr="00A30E5F">
        <w:rPr>
          <w:color w:val="000000"/>
        </w:rPr>
        <w:t>.</w:t>
      </w:r>
    </w:p>
    <w:p w14:paraId="3CB2142F" w14:textId="6D29A502" w:rsidR="00640986" w:rsidRDefault="00640986" w:rsidP="00640986">
      <w:pPr>
        <w:pStyle w:val="F2-zkladn"/>
        <w:rPr>
          <w:b/>
          <w:bCs/>
        </w:rPr>
      </w:pPr>
      <w:r w:rsidRPr="00640986">
        <w:rPr>
          <w:b/>
          <w:bCs/>
        </w:rPr>
        <w:t>O průzkumu</w:t>
      </w:r>
    </w:p>
    <w:p w14:paraId="63F30504" w14:textId="77777777" w:rsidR="00640986" w:rsidRPr="00640986" w:rsidRDefault="00640986" w:rsidP="00640986">
      <w:pPr>
        <w:spacing w:line="276" w:lineRule="auto"/>
        <w:rPr>
          <w:color w:val="000000"/>
        </w:rPr>
      </w:pPr>
      <w:r w:rsidRPr="00640986">
        <w:rPr>
          <w:color w:val="000000"/>
        </w:rPr>
        <w:t xml:space="preserve">Průzkum analytiků společnosti </w:t>
      </w:r>
      <w:proofErr w:type="spellStart"/>
      <w:r w:rsidRPr="00640986">
        <w:rPr>
          <w:color w:val="000000"/>
        </w:rPr>
        <w:t>Fidelity</w:t>
      </w:r>
      <w:proofErr w:type="spellEnd"/>
      <w:r w:rsidRPr="00640986">
        <w:rPr>
          <w:color w:val="000000"/>
        </w:rPr>
        <w:t xml:space="preserve"> byl proveden v prosinci 2023 a obsahuje odpovědi 137 analytiků z celého světa.</w:t>
      </w:r>
    </w:p>
    <w:p w14:paraId="37C70E5D" w14:textId="548EFD34" w:rsidR="00077E7E" w:rsidRDefault="00077E7E" w:rsidP="00A06FDC">
      <w:pPr>
        <w:pStyle w:val="F2-zkladn"/>
      </w:pPr>
    </w:p>
    <w:p w14:paraId="09412FDC" w14:textId="77777777" w:rsidR="00725052" w:rsidRPr="00627C23" w:rsidRDefault="00725052" w:rsidP="00627C23">
      <w:pPr>
        <w:spacing w:before="0" w:line="240" w:lineRule="atLeast"/>
        <w:rPr>
          <w:color w:val="000000" w:themeColor="text1"/>
        </w:rPr>
      </w:pPr>
      <w:r w:rsidRPr="00455A3C">
        <w:rPr>
          <w:b/>
        </w:rPr>
        <w:t>Pro více informací kontaktujte:</w:t>
      </w:r>
    </w:p>
    <w:p w14:paraId="24D5CF1C" w14:textId="77777777" w:rsidR="00725052" w:rsidRDefault="00725052" w:rsidP="002027ED">
      <w:pPr>
        <w:spacing w:before="0" w:line="240" w:lineRule="atLeast"/>
        <w:rPr>
          <w:b/>
        </w:rPr>
      </w:pPr>
      <w:r>
        <w:rPr>
          <w:b/>
        </w:rPr>
        <w:t>Eliška Krohová</w:t>
      </w:r>
    </w:p>
    <w:p w14:paraId="397723E3"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2AA89694" w14:textId="77777777" w:rsidR="00725052" w:rsidRPr="00455A3C" w:rsidRDefault="00725052" w:rsidP="002027ED">
      <w:pPr>
        <w:spacing w:before="0" w:line="240" w:lineRule="atLeast"/>
      </w:pPr>
    </w:p>
    <w:p w14:paraId="20A580D0" w14:textId="77777777" w:rsidR="00725052" w:rsidRPr="00455A3C" w:rsidRDefault="00725052" w:rsidP="002027ED">
      <w:pPr>
        <w:spacing w:before="0" w:line="240" w:lineRule="atLeast"/>
      </w:pPr>
      <w:r w:rsidRPr="00455A3C">
        <w:t>Ostrovní 126/30</w:t>
      </w:r>
    </w:p>
    <w:p w14:paraId="084B6543" w14:textId="77777777" w:rsidR="00725052" w:rsidRPr="00455A3C" w:rsidRDefault="00725052" w:rsidP="002027ED">
      <w:pPr>
        <w:spacing w:before="0" w:line="240" w:lineRule="atLeast"/>
      </w:pPr>
      <w:r w:rsidRPr="00455A3C">
        <w:t>110 00 Praha 1</w:t>
      </w:r>
    </w:p>
    <w:p w14:paraId="4F786992" w14:textId="77777777" w:rsidR="00725052" w:rsidRPr="00455A3C" w:rsidRDefault="00725052" w:rsidP="002027ED">
      <w:pPr>
        <w:spacing w:before="0" w:line="240" w:lineRule="atLeast"/>
      </w:pPr>
      <w:proofErr w:type="spellStart"/>
      <w:r>
        <w:t>gsm</w:t>
      </w:r>
      <w:proofErr w:type="spellEnd"/>
      <w:r>
        <w:t>: + 420 720 406 659</w:t>
      </w:r>
    </w:p>
    <w:p w14:paraId="5976E2A6" w14:textId="77777777" w:rsidR="000E2910" w:rsidRDefault="00725052" w:rsidP="002027ED">
      <w:pPr>
        <w:spacing w:before="0" w:line="240" w:lineRule="atLeast"/>
        <w:rPr>
          <w:rStyle w:val="Hypertextovodkaz"/>
        </w:rPr>
      </w:pPr>
      <w:r w:rsidRPr="00455A3C">
        <w:rPr>
          <w:color w:val="000000"/>
        </w:rPr>
        <w:t xml:space="preserve">e-mail: </w:t>
      </w:r>
      <w:hyperlink r:id="rId17" w:history="1">
        <w:r w:rsidRPr="00E23FD4">
          <w:rPr>
            <w:rStyle w:val="Hypertextovodkaz"/>
          </w:rPr>
          <w:t>eliska.krohova@crestcom.cz</w:t>
        </w:r>
      </w:hyperlink>
    </w:p>
    <w:p w14:paraId="40E1E7A0" w14:textId="77777777" w:rsidR="005A5AB1" w:rsidRPr="005A5AB1" w:rsidRDefault="005A5AB1" w:rsidP="002027ED">
      <w:pPr>
        <w:pStyle w:val="F2-zkladn"/>
      </w:pPr>
    </w:p>
    <w:p w14:paraId="357FBF7D"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00E1FA80" w14:textId="7777777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w:t>
      </w:r>
      <w:r w:rsidRPr="00D404D5">
        <w:rPr>
          <w:color w:val="000000"/>
          <w:lang w:eastAsia="en-US"/>
        </w:rPr>
        <w:lastRenderedPageBreak/>
        <w:t>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853BD0A" w14:textId="77777777" w:rsidR="00DC0ACA" w:rsidRDefault="00DC0ACA" w:rsidP="002027ED">
      <w:pPr>
        <w:pStyle w:val="F2-zkladn"/>
        <w:rPr>
          <w:b/>
          <w:bCs/>
        </w:rPr>
      </w:pPr>
    </w:p>
    <w:p w14:paraId="3F881FD8" w14:textId="77777777" w:rsidR="00424771" w:rsidRPr="00424771" w:rsidRDefault="00424771" w:rsidP="002027ED">
      <w:pPr>
        <w:pStyle w:val="F2-zkladn"/>
        <w:rPr>
          <w:b/>
          <w:bCs/>
        </w:rPr>
      </w:pPr>
      <w:r w:rsidRPr="00424771">
        <w:rPr>
          <w:b/>
          <w:bCs/>
        </w:rPr>
        <w:t>Důležité upozornění</w:t>
      </w:r>
    </w:p>
    <w:p w14:paraId="643A868C" w14:textId="77777777" w:rsidR="00424771" w:rsidRDefault="00424771" w:rsidP="002027ED">
      <w:pPr>
        <w:pStyle w:val="F2-zkladn"/>
      </w:pPr>
      <w:r>
        <w:t>Toto je propagační materiál. Tento dokument nesmí být bez předchozího souhlasu rozmnožován nebo rozšiřován.</w:t>
      </w:r>
    </w:p>
    <w:p w14:paraId="344883F9"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5CFBBC8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407B5A8F"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574DF48B"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64AB551B"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BECDA22" w14:textId="77777777" w:rsidR="00424771" w:rsidRDefault="00424771" w:rsidP="002027ED">
      <w:pPr>
        <w:pStyle w:val="F2-zkladn"/>
      </w:pPr>
      <w:r>
        <w:t>Minulá výkonnost není spolehlivým ukazatelem budoucích výsledků.</w:t>
      </w:r>
    </w:p>
    <w:p w14:paraId="6878FE5A" w14:textId="77777777" w:rsidR="00424771" w:rsidRDefault="00424771" w:rsidP="002027ED">
      <w:pPr>
        <w:pStyle w:val="F2-zkladn"/>
      </w:pPr>
      <w:r>
        <w:lastRenderedPageBreak/>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04C29EC9"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9524190"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23AA022A"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5FD56B5" w14:textId="35DC870C" w:rsidR="00954343" w:rsidRDefault="009E5A94" w:rsidP="00655623">
      <w:pPr>
        <w:pStyle w:val="F2-zkladn"/>
      </w:pPr>
      <w:r w:rsidRPr="009E5A94">
        <w:t>MKAT12014</w:t>
      </w:r>
    </w:p>
    <w:sectPr w:rsidR="00954343" w:rsidSect="003A21D8">
      <w:headerReference w:type="default" r:id="rId18"/>
      <w:footerReference w:type="default" r:id="rId19"/>
      <w:headerReference w:type="first" r:id="rId20"/>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604FE" w14:textId="77777777" w:rsidR="003A21D8" w:rsidRDefault="003A21D8">
      <w:r>
        <w:separator/>
      </w:r>
    </w:p>
  </w:endnote>
  <w:endnote w:type="continuationSeparator" w:id="0">
    <w:p w14:paraId="68451627" w14:textId="77777777" w:rsidR="003A21D8" w:rsidRDefault="003A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4B0A"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75770" w14:textId="77777777" w:rsidR="003A21D8" w:rsidRDefault="003A21D8">
      <w:r>
        <w:separator/>
      </w:r>
    </w:p>
  </w:footnote>
  <w:footnote w:type="continuationSeparator" w:id="0">
    <w:p w14:paraId="67A905E5" w14:textId="77777777" w:rsidR="003A21D8" w:rsidRDefault="003A21D8">
      <w:r>
        <w:continuationSeparator/>
      </w:r>
    </w:p>
  </w:footnote>
  <w:footnote w:type="continuationNotice" w:id="1">
    <w:p w14:paraId="665CA985" w14:textId="77777777" w:rsidR="003A21D8" w:rsidRDefault="003A2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FD40"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9748" w14:textId="77777777" w:rsidR="001D1343" w:rsidRDefault="0018797C">
    <w:pPr>
      <w:pStyle w:val="Zhlav"/>
    </w:pPr>
    <w:r>
      <w:rPr>
        <w:noProof/>
      </w:rPr>
      <w:drawing>
        <wp:anchor distT="0" distB="0" distL="114300" distR="114300" simplePos="0" relativeHeight="251657728" behindDoc="0" locked="0" layoutInCell="1" allowOverlap="1" wp14:anchorId="761F38B4" wp14:editId="26CF569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29D59ED7" w14:textId="77777777" w:rsidR="001D1343" w:rsidRDefault="001D1343">
    <w:pPr>
      <w:pStyle w:val="Zhlav"/>
    </w:pPr>
  </w:p>
  <w:p w14:paraId="033B7759"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6A652A"/>
    <w:multiLevelType w:val="hybridMultilevel"/>
    <w:tmpl w:val="889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3" w15:restartNumberingAfterBreak="0">
    <w:nsid w:val="5B755401"/>
    <w:multiLevelType w:val="hybridMultilevel"/>
    <w:tmpl w:val="C93A3728"/>
    <w:lvl w:ilvl="0" w:tplc="0950C63E">
      <w:numFmt w:val="bullet"/>
      <w:lvlText w:val="-"/>
      <w:lvlJc w:val="left"/>
      <w:pPr>
        <w:ind w:left="720" w:hanging="360"/>
      </w:pPr>
      <w:rPr>
        <w:rFonts w:ascii="Arial" w:eastAsia="Times New Roman" w:hAnsi="Arial" w:cs="Arial" w:hint="default"/>
        <w:b w:val="0"/>
        <w:sz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2F7C3D"/>
    <w:multiLevelType w:val="hybridMultilevel"/>
    <w:tmpl w:val="1AB27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2C3628F"/>
    <w:multiLevelType w:val="hybridMultilevel"/>
    <w:tmpl w:val="3BCC654E"/>
    <w:lvl w:ilvl="0" w:tplc="04050001">
      <w:start w:val="1"/>
      <w:numFmt w:val="bullet"/>
      <w:lvlText w:val=""/>
      <w:lvlJc w:val="left"/>
      <w:pPr>
        <w:ind w:left="720" w:hanging="360"/>
      </w:pPr>
      <w:rPr>
        <w:rFonts w:ascii="Symbol" w:hAnsi="Symbol" w:hint="default"/>
        <w:b w:val="0"/>
        <w:sz w:val="21"/>
      </w:rPr>
    </w:lvl>
    <w:lvl w:ilvl="1" w:tplc="8482CED4">
      <w:numFmt w:val="bullet"/>
      <w:lvlText w:val="-"/>
      <w:lvlJc w:val="left"/>
      <w:pPr>
        <w:ind w:left="1440" w:hanging="360"/>
      </w:pPr>
      <w:rPr>
        <w:rFonts w:ascii="Arial" w:eastAsia="Times New Roman" w:hAnsi="Arial" w:cs="Arial" w:hint="default"/>
        <w:b w:val="0"/>
        <w:sz w:val="21"/>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0020177">
    <w:abstractNumId w:val="15"/>
  </w:num>
  <w:num w:numId="2" w16cid:durableId="624235034">
    <w:abstractNumId w:val="24"/>
  </w:num>
  <w:num w:numId="3" w16cid:durableId="1963882581">
    <w:abstractNumId w:val="29"/>
  </w:num>
  <w:num w:numId="4" w16cid:durableId="222716810">
    <w:abstractNumId w:val="18"/>
  </w:num>
  <w:num w:numId="5" w16cid:durableId="1108112886">
    <w:abstractNumId w:val="19"/>
  </w:num>
  <w:num w:numId="6" w16cid:durableId="1426488816">
    <w:abstractNumId w:val="17"/>
  </w:num>
  <w:num w:numId="7" w16cid:durableId="1365205218">
    <w:abstractNumId w:val="27"/>
  </w:num>
  <w:num w:numId="8" w16cid:durableId="1311792749">
    <w:abstractNumId w:val="21"/>
  </w:num>
  <w:num w:numId="9" w16cid:durableId="1967199675">
    <w:abstractNumId w:val="8"/>
  </w:num>
  <w:num w:numId="10" w16cid:durableId="1103066384">
    <w:abstractNumId w:val="3"/>
  </w:num>
  <w:num w:numId="11" w16cid:durableId="1411777774">
    <w:abstractNumId w:val="2"/>
  </w:num>
  <w:num w:numId="12" w16cid:durableId="217589950">
    <w:abstractNumId w:val="1"/>
  </w:num>
  <w:num w:numId="13" w16cid:durableId="612786626">
    <w:abstractNumId w:val="0"/>
  </w:num>
  <w:num w:numId="14" w16cid:durableId="1653363197">
    <w:abstractNumId w:val="11"/>
  </w:num>
  <w:num w:numId="15" w16cid:durableId="1842424151">
    <w:abstractNumId w:val="9"/>
  </w:num>
  <w:num w:numId="16" w16cid:durableId="1737705016">
    <w:abstractNumId w:val="7"/>
  </w:num>
  <w:num w:numId="17" w16cid:durableId="1791557806">
    <w:abstractNumId w:val="6"/>
  </w:num>
  <w:num w:numId="18" w16cid:durableId="1334606163">
    <w:abstractNumId w:val="5"/>
  </w:num>
  <w:num w:numId="19" w16cid:durableId="42868447">
    <w:abstractNumId w:val="4"/>
  </w:num>
  <w:num w:numId="20" w16cid:durableId="1167327341">
    <w:abstractNumId w:val="14"/>
  </w:num>
  <w:num w:numId="21" w16cid:durableId="419252356">
    <w:abstractNumId w:val="22"/>
  </w:num>
  <w:num w:numId="22" w16cid:durableId="1616015300">
    <w:abstractNumId w:val="12"/>
  </w:num>
  <w:num w:numId="23" w16cid:durableId="826635203">
    <w:abstractNumId w:val="10"/>
  </w:num>
  <w:num w:numId="24" w16cid:durableId="2087218410">
    <w:abstractNumId w:val="13"/>
  </w:num>
  <w:num w:numId="25" w16cid:durableId="294219730">
    <w:abstractNumId w:val="16"/>
  </w:num>
  <w:num w:numId="26" w16cid:durableId="817039537">
    <w:abstractNumId w:val="25"/>
  </w:num>
  <w:num w:numId="27" w16cid:durableId="139156664">
    <w:abstractNumId w:val="26"/>
  </w:num>
  <w:num w:numId="28" w16cid:durableId="1887570183">
    <w:abstractNumId w:val="23"/>
  </w:num>
  <w:num w:numId="29" w16cid:durableId="1492090845">
    <w:abstractNumId w:val="28"/>
  </w:num>
  <w:num w:numId="30" w16cid:durableId="24780875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77E7E"/>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1BA"/>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4F3"/>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35CC"/>
    <w:rsid w:val="002548DB"/>
    <w:rsid w:val="00255E9C"/>
    <w:rsid w:val="00255F84"/>
    <w:rsid w:val="00256692"/>
    <w:rsid w:val="00257859"/>
    <w:rsid w:val="0026336D"/>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8E1"/>
    <w:rsid w:val="002B0AF2"/>
    <w:rsid w:val="002B0AFD"/>
    <w:rsid w:val="002B0B15"/>
    <w:rsid w:val="002B14B5"/>
    <w:rsid w:val="002B2991"/>
    <w:rsid w:val="002B3C38"/>
    <w:rsid w:val="002B5926"/>
    <w:rsid w:val="002B6FCD"/>
    <w:rsid w:val="002B72A2"/>
    <w:rsid w:val="002B7380"/>
    <w:rsid w:val="002B7901"/>
    <w:rsid w:val="002C1698"/>
    <w:rsid w:val="002C1B82"/>
    <w:rsid w:val="002C2049"/>
    <w:rsid w:val="002C2E7D"/>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05F4"/>
    <w:rsid w:val="00301881"/>
    <w:rsid w:val="00302961"/>
    <w:rsid w:val="00303102"/>
    <w:rsid w:val="00307253"/>
    <w:rsid w:val="003078EB"/>
    <w:rsid w:val="00307E7E"/>
    <w:rsid w:val="00310E2F"/>
    <w:rsid w:val="00311AE0"/>
    <w:rsid w:val="003172DF"/>
    <w:rsid w:val="003177AF"/>
    <w:rsid w:val="00320015"/>
    <w:rsid w:val="00321AE8"/>
    <w:rsid w:val="00322CF1"/>
    <w:rsid w:val="00324E48"/>
    <w:rsid w:val="00327439"/>
    <w:rsid w:val="003274DC"/>
    <w:rsid w:val="00327F8D"/>
    <w:rsid w:val="00327F8E"/>
    <w:rsid w:val="003301F8"/>
    <w:rsid w:val="00330682"/>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760"/>
    <w:rsid w:val="00391EEB"/>
    <w:rsid w:val="00394B7B"/>
    <w:rsid w:val="00395B87"/>
    <w:rsid w:val="00397E34"/>
    <w:rsid w:val="003A0565"/>
    <w:rsid w:val="003A0BB4"/>
    <w:rsid w:val="003A21D8"/>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97C45"/>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0986"/>
    <w:rsid w:val="006419BA"/>
    <w:rsid w:val="00641D35"/>
    <w:rsid w:val="00641F34"/>
    <w:rsid w:val="006437A9"/>
    <w:rsid w:val="006440ED"/>
    <w:rsid w:val="00645857"/>
    <w:rsid w:val="00652AEE"/>
    <w:rsid w:val="00653433"/>
    <w:rsid w:val="00653727"/>
    <w:rsid w:val="00653C29"/>
    <w:rsid w:val="00654B04"/>
    <w:rsid w:val="00655623"/>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4FE"/>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027B"/>
    <w:rsid w:val="007A3937"/>
    <w:rsid w:val="007A40C6"/>
    <w:rsid w:val="007A4F20"/>
    <w:rsid w:val="007A6AA0"/>
    <w:rsid w:val="007A6B19"/>
    <w:rsid w:val="007A78F2"/>
    <w:rsid w:val="007B3045"/>
    <w:rsid w:val="007B49DF"/>
    <w:rsid w:val="007B4B6D"/>
    <w:rsid w:val="007B5296"/>
    <w:rsid w:val="007B655B"/>
    <w:rsid w:val="007B67AD"/>
    <w:rsid w:val="007B7639"/>
    <w:rsid w:val="007C00BA"/>
    <w:rsid w:val="007C18F2"/>
    <w:rsid w:val="007C1AC1"/>
    <w:rsid w:val="007C1FEC"/>
    <w:rsid w:val="007C448E"/>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8F3B73"/>
    <w:rsid w:val="00900CE5"/>
    <w:rsid w:val="00902C26"/>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343"/>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5A94"/>
    <w:rsid w:val="009E6ACF"/>
    <w:rsid w:val="009F0C32"/>
    <w:rsid w:val="009F461F"/>
    <w:rsid w:val="00A006D3"/>
    <w:rsid w:val="00A01305"/>
    <w:rsid w:val="00A01EEF"/>
    <w:rsid w:val="00A0259C"/>
    <w:rsid w:val="00A036CB"/>
    <w:rsid w:val="00A0546A"/>
    <w:rsid w:val="00A061CA"/>
    <w:rsid w:val="00A06AAA"/>
    <w:rsid w:val="00A06FDC"/>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0E5F"/>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36B63"/>
    <w:rsid w:val="00B4166B"/>
    <w:rsid w:val="00B418ED"/>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D08"/>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9F3"/>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147"/>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3B9"/>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8F7"/>
    <w:rsid w:val="00D17B15"/>
    <w:rsid w:val="00D20884"/>
    <w:rsid w:val="00D20D3E"/>
    <w:rsid w:val="00D22687"/>
    <w:rsid w:val="00D25C07"/>
    <w:rsid w:val="00D260E2"/>
    <w:rsid w:val="00D26951"/>
    <w:rsid w:val="00D2779E"/>
    <w:rsid w:val="00D325C8"/>
    <w:rsid w:val="00D32759"/>
    <w:rsid w:val="00D340A4"/>
    <w:rsid w:val="00D340CA"/>
    <w:rsid w:val="00D34291"/>
    <w:rsid w:val="00D40318"/>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2F0D"/>
    <w:rsid w:val="00D83636"/>
    <w:rsid w:val="00D85F98"/>
    <w:rsid w:val="00D869C3"/>
    <w:rsid w:val="00D905D5"/>
    <w:rsid w:val="00D91AE1"/>
    <w:rsid w:val="00DA4689"/>
    <w:rsid w:val="00DA474C"/>
    <w:rsid w:val="00DA4891"/>
    <w:rsid w:val="00DA4926"/>
    <w:rsid w:val="00DA6B7D"/>
    <w:rsid w:val="00DB02C0"/>
    <w:rsid w:val="00DB0357"/>
    <w:rsid w:val="00DB15BC"/>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0DBF"/>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46AD"/>
    <w:rsid w:val="00E56339"/>
    <w:rsid w:val="00E56ECC"/>
    <w:rsid w:val="00E572EF"/>
    <w:rsid w:val="00E57FEE"/>
    <w:rsid w:val="00E629C3"/>
    <w:rsid w:val="00E6378F"/>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B7A23"/>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44BA3"/>
  <w15:docId w15:val="{8A1098C7-BEB4-4952-B3A1-ABCFF5E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eliska.krohova@crestcom.cz"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filprod-my.sharepoint.com/personal/ben_traynor_fil_com/Documents/Documents/Analyst%20Survey%202024/Articles%20char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filprod-my.sharepoint.com/personal/ben_traynor_fil_com/Documents/Documents/Analyst%20Survey%202024/Articles%20chart%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'Overview stagecycle now &amp; 12m'!$P$66</c:f>
              <c:strCache>
                <c:ptCount val="1"/>
                <c:pt idx="0">
                  <c:v>Expansion now</c:v>
                </c:pt>
              </c:strCache>
            </c:strRef>
          </c:tx>
          <c:spPr>
            <a:solidFill>
              <a:schemeClr val="accent1"/>
            </a:solidFill>
            <a:ln>
              <a:noFill/>
            </a:ln>
            <a:effectLst/>
          </c:spPr>
          <c:invertIfNegative val="0"/>
          <c:cat>
            <c:strRef>
              <c:f>('Overview stagecycle now &amp; 12m'!$Q$65:$S$65,'Overview stagecycle now &amp; 12m'!$Z$65:$AE$65,'Overview stagecycle now &amp; 12m'!$AU$65:$AV$65)</c:f>
              <c:strCache>
                <c:ptCount val="11"/>
                <c:pt idx="1">
                  <c:v>Communication Services </c:v>
                </c:pt>
                <c:pt idx="4">
                  <c:v>Energy </c:v>
                </c:pt>
                <c:pt idx="7">
                  <c:v>Financials</c:v>
                </c:pt>
                <c:pt idx="10">
                  <c:v>Utilities</c:v>
                </c:pt>
              </c:strCache>
              <c:extLst/>
            </c:strRef>
          </c:cat>
          <c:val>
            <c:numRef>
              <c:f>('Overview stagecycle now &amp; 12m'!$Q$66:$S$66,'Overview stagecycle now &amp; 12m'!$Z$66:$AE$66,'Overview stagecycle now &amp; 12m'!$AU$66:$AV$66)</c:f>
              <c:numCache>
                <c:formatCode>General</c:formatCode>
                <c:ptCount val="11"/>
                <c:pt idx="0" formatCode="0%">
                  <c:v>0.88888888888888884</c:v>
                </c:pt>
                <c:pt idx="3" formatCode="0%">
                  <c:v>0.5</c:v>
                </c:pt>
                <c:pt idx="6" formatCode="0%">
                  <c:v>0.69230769230769229</c:v>
                </c:pt>
                <c:pt idx="9" formatCode="0%">
                  <c:v>0.66666666666666663</c:v>
                </c:pt>
              </c:numCache>
              <c:extLst/>
            </c:numRef>
          </c:val>
          <c:extLst>
            <c:ext xmlns:c16="http://schemas.microsoft.com/office/drawing/2014/chart" uri="{C3380CC4-5D6E-409C-BE32-E72D297353CC}">
              <c16:uniqueId val="{00000000-19E8-4370-97D6-F8908404EEEE}"/>
            </c:ext>
          </c:extLst>
        </c:ser>
        <c:ser>
          <c:idx val="1"/>
          <c:order val="1"/>
          <c:tx>
            <c:strRef>
              <c:f>'Overview stagecycle now &amp; 12m'!$P$67</c:f>
              <c:strCache>
                <c:ptCount val="1"/>
                <c:pt idx="0">
                  <c:v>Slowdown/recession now</c:v>
                </c:pt>
              </c:strCache>
            </c:strRef>
          </c:tx>
          <c:spPr>
            <a:solidFill>
              <a:schemeClr val="accent2"/>
            </a:solidFill>
            <a:ln>
              <a:noFill/>
            </a:ln>
            <a:effectLst/>
          </c:spPr>
          <c:invertIfNegative val="0"/>
          <c:cat>
            <c:strRef>
              <c:f>('Overview stagecycle now &amp; 12m'!$Q$65:$S$65,'Overview stagecycle now &amp; 12m'!$Z$65:$AE$65,'Overview stagecycle now &amp; 12m'!$AU$65:$AV$65)</c:f>
              <c:strCache>
                <c:ptCount val="11"/>
                <c:pt idx="1">
                  <c:v>Communication Services </c:v>
                </c:pt>
                <c:pt idx="4">
                  <c:v>Energy </c:v>
                </c:pt>
                <c:pt idx="7">
                  <c:v>Financials</c:v>
                </c:pt>
                <c:pt idx="10">
                  <c:v>Utilities</c:v>
                </c:pt>
              </c:strCache>
              <c:extLst/>
            </c:strRef>
          </c:cat>
          <c:val>
            <c:numRef>
              <c:f>('Overview stagecycle now &amp; 12m'!$Q$67:$S$67,'Overview stagecycle now &amp; 12m'!$Z$67:$AE$67,'Overview stagecycle now &amp; 12m'!$AU$67:$AV$67)</c:f>
              <c:numCache>
                <c:formatCode>General</c:formatCode>
                <c:ptCount val="11"/>
                <c:pt idx="0" formatCode="0%">
                  <c:v>-0.1111111111111111</c:v>
                </c:pt>
                <c:pt idx="3" formatCode="0%">
                  <c:v>-0.5</c:v>
                </c:pt>
                <c:pt idx="6" formatCode="0%">
                  <c:v>-0.30769230769230771</c:v>
                </c:pt>
                <c:pt idx="9" formatCode="0%">
                  <c:v>-0.33333333333333331</c:v>
                </c:pt>
              </c:numCache>
              <c:extLst/>
            </c:numRef>
          </c:val>
          <c:extLst>
            <c:ext xmlns:c16="http://schemas.microsoft.com/office/drawing/2014/chart" uri="{C3380CC4-5D6E-409C-BE32-E72D297353CC}">
              <c16:uniqueId val="{00000001-19E8-4370-97D6-F8908404EEEE}"/>
            </c:ext>
          </c:extLst>
        </c:ser>
        <c:ser>
          <c:idx val="2"/>
          <c:order val="2"/>
          <c:tx>
            <c:strRef>
              <c:f>'Overview stagecycle now &amp; 12m'!$P$68</c:f>
              <c:strCache>
                <c:ptCount val="1"/>
                <c:pt idx="0">
                  <c:v>Expansion 12 months</c:v>
                </c:pt>
              </c:strCache>
            </c:strRef>
          </c:tx>
          <c:spPr>
            <a:solidFill>
              <a:schemeClr val="accent3"/>
            </a:solidFill>
            <a:ln>
              <a:noFill/>
            </a:ln>
            <a:effectLst/>
          </c:spPr>
          <c:invertIfNegative val="0"/>
          <c:cat>
            <c:strRef>
              <c:f>('Overview stagecycle now &amp; 12m'!$Q$65:$S$65,'Overview stagecycle now &amp; 12m'!$Z$65:$AE$65,'Overview stagecycle now &amp; 12m'!$AU$65:$AV$65)</c:f>
              <c:strCache>
                <c:ptCount val="11"/>
                <c:pt idx="1">
                  <c:v>Communication Services </c:v>
                </c:pt>
                <c:pt idx="4">
                  <c:v>Energy </c:v>
                </c:pt>
                <c:pt idx="7">
                  <c:v>Financials</c:v>
                </c:pt>
                <c:pt idx="10">
                  <c:v>Utilities</c:v>
                </c:pt>
              </c:strCache>
              <c:extLst/>
            </c:strRef>
          </c:cat>
          <c:val>
            <c:numRef>
              <c:f>('Overview stagecycle now &amp; 12m'!$Q$68:$S$68,'Overview stagecycle now &amp; 12m'!$Z$68:$AE$68,'Overview stagecycle now &amp; 12m'!$AU$68:$AV$68)</c:f>
              <c:numCache>
                <c:formatCode>0%</c:formatCode>
                <c:ptCount val="11"/>
                <c:pt idx="1">
                  <c:v>0.55555555555555558</c:v>
                </c:pt>
                <c:pt idx="4">
                  <c:v>0</c:v>
                </c:pt>
                <c:pt idx="7">
                  <c:v>0.42307692307692313</c:v>
                </c:pt>
                <c:pt idx="10">
                  <c:v>0.5</c:v>
                </c:pt>
              </c:numCache>
              <c:extLst/>
            </c:numRef>
          </c:val>
          <c:extLst>
            <c:ext xmlns:c16="http://schemas.microsoft.com/office/drawing/2014/chart" uri="{C3380CC4-5D6E-409C-BE32-E72D297353CC}">
              <c16:uniqueId val="{00000002-19E8-4370-97D6-F8908404EEEE}"/>
            </c:ext>
          </c:extLst>
        </c:ser>
        <c:ser>
          <c:idx val="3"/>
          <c:order val="3"/>
          <c:tx>
            <c:strRef>
              <c:f>'Overview stagecycle now &amp; 12m'!$P$69</c:f>
              <c:strCache>
                <c:ptCount val="1"/>
                <c:pt idx="0">
                  <c:v>Slowdown/recession 12m</c:v>
                </c:pt>
              </c:strCache>
            </c:strRef>
          </c:tx>
          <c:spPr>
            <a:solidFill>
              <a:schemeClr val="accent4"/>
            </a:solidFill>
            <a:ln>
              <a:noFill/>
            </a:ln>
            <a:effectLst/>
          </c:spPr>
          <c:invertIfNegative val="0"/>
          <c:cat>
            <c:strRef>
              <c:f>('Overview stagecycle now &amp; 12m'!$Q$65:$S$65,'Overview stagecycle now &amp; 12m'!$Z$65:$AE$65,'Overview stagecycle now &amp; 12m'!$AU$65:$AV$65)</c:f>
              <c:strCache>
                <c:ptCount val="11"/>
                <c:pt idx="1">
                  <c:v>Communication Services </c:v>
                </c:pt>
                <c:pt idx="4">
                  <c:v>Energy </c:v>
                </c:pt>
                <c:pt idx="7">
                  <c:v>Financials</c:v>
                </c:pt>
                <c:pt idx="10">
                  <c:v>Utilities</c:v>
                </c:pt>
              </c:strCache>
              <c:extLst/>
            </c:strRef>
          </c:cat>
          <c:val>
            <c:numRef>
              <c:f>('Overview stagecycle now &amp; 12m'!$Q$69:$S$69,'Overview stagecycle now &amp; 12m'!$Z$69:$AE$69,'Overview stagecycle now &amp; 12m'!$AU$69:$AV$69)</c:f>
              <c:numCache>
                <c:formatCode>0%</c:formatCode>
                <c:ptCount val="11"/>
                <c:pt idx="1">
                  <c:v>-0.44444444444444442</c:v>
                </c:pt>
                <c:pt idx="4">
                  <c:v>-1</c:v>
                </c:pt>
                <c:pt idx="7">
                  <c:v>-0.57692307692307687</c:v>
                </c:pt>
                <c:pt idx="10">
                  <c:v>-0.5</c:v>
                </c:pt>
              </c:numCache>
              <c:extLst/>
            </c:numRef>
          </c:val>
          <c:extLst>
            <c:ext xmlns:c16="http://schemas.microsoft.com/office/drawing/2014/chart" uri="{C3380CC4-5D6E-409C-BE32-E72D297353CC}">
              <c16:uniqueId val="{00000003-19E8-4370-97D6-F8908404EEEE}"/>
            </c:ext>
          </c:extLst>
        </c:ser>
        <c:dLbls>
          <c:showLegendKey val="0"/>
          <c:showVal val="0"/>
          <c:showCatName val="0"/>
          <c:showSerName val="0"/>
          <c:showPercent val="0"/>
          <c:showBubbleSize val="0"/>
        </c:dLbls>
        <c:gapWidth val="50"/>
        <c:overlap val="100"/>
        <c:axId val="2138543632"/>
        <c:axId val="2138544944"/>
      </c:barChart>
      <c:catAx>
        <c:axId val="21385436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cs-CZ"/>
          </a:p>
        </c:txPr>
        <c:crossAx val="2138544944"/>
        <c:crosses val="autoZero"/>
        <c:auto val="1"/>
        <c:lblAlgn val="ctr"/>
        <c:lblOffset val="100"/>
        <c:noMultiLvlLbl val="0"/>
      </c:catAx>
      <c:valAx>
        <c:axId val="2138544944"/>
        <c:scaling>
          <c:orientation val="minMax"/>
          <c:max val="1"/>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38543632"/>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80927384076992E-2"/>
          <c:y val="0"/>
          <c:w val="0.849592738407699"/>
          <c:h val="0.73577136191309422"/>
        </c:manualLayout>
      </c:layout>
      <c:barChart>
        <c:barDir val="bar"/>
        <c:grouping val="stacked"/>
        <c:varyColors val="0"/>
        <c:ser>
          <c:idx val="0"/>
          <c:order val="0"/>
          <c:tx>
            <c:strRef>
              <c:f>'Overview geopolitics'!$L$5</c:f>
              <c:strCache>
                <c:ptCount val="1"/>
                <c:pt idx="0">
                  <c:v>Negative</c:v>
                </c:pt>
              </c:strCache>
            </c:strRef>
          </c:tx>
          <c:spPr>
            <a:solidFill>
              <a:schemeClr val="accent1"/>
            </a:solidFill>
            <a:ln>
              <a:noFill/>
            </a:ln>
            <a:effectLst/>
          </c:spPr>
          <c:invertIfNegative val="0"/>
          <c:cat>
            <c:numRef>
              <c:f>'Overview geopolitics'!$K$6:$K$13</c:f>
              <c:numCache>
                <c:formatCode>General</c:formatCode>
                <c:ptCount val="8"/>
                <c:pt idx="0">
                  <c:v>2024</c:v>
                </c:pt>
                <c:pt idx="1">
                  <c:v>2023</c:v>
                </c:pt>
                <c:pt idx="2">
                  <c:v>2022</c:v>
                </c:pt>
                <c:pt idx="3">
                  <c:v>2021</c:v>
                </c:pt>
                <c:pt idx="4">
                  <c:v>2020</c:v>
                </c:pt>
                <c:pt idx="5">
                  <c:v>2019</c:v>
                </c:pt>
                <c:pt idx="6">
                  <c:v>2018</c:v>
                </c:pt>
                <c:pt idx="7">
                  <c:v>2017</c:v>
                </c:pt>
              </c:numCache>
            </c:numRef>
          </c:cat>
          <c:val>
            <c:numRef>
              <c:f>'Overview geopolitics'!$L$6:$L$13</c:f>
              <c:numCache>
                <c:formatCode>0%</c:formatCode>
                <c:ptCount val="8"/>
                <c:pt idx="0">
                  <c:v>-0.27741935483870972</c:v>
                </c:pt>
                <c:pt idx="1">
                  <c:v>-0.48502994011976047</c:v>
                </c:pt>
                <c:pt idx="2">
                  <c:v>-0.35555555555555551</c:v>
                </c:pt>
                <c:pt idx="3">
                  <c:v>-0.36571428571428571</c:v>
                </c:pt>
                <c:pt idx="4">
                  <c:v>-0.5168539325842697</c:v>
                </c:pt>
                <c:pt idx="5">
                  <c:v>-0.47643979057591623</c:v>
                </c:pt>
                <c:pt idx="6">
                  <c:v>-0.29629629629629628</c:v>
                </c:pt>
                <c:pt idx="7">
                  <c:v>-0.28901734104046239</c:v>
                </c:pt>
              </c:numCache>
            </c:numRef>
          </c:val>
          <c:extLst>
            <c:ext xmlns:c16="http://schemas.microsoft.com/office/drawing/2014/chart" uri="{C3380CC4-5D6E-409C-BE32-E72D297353CC}">
              <c16:uniqueId val="{00000000-F771-4678-9683-CC2FDCFB268B}"/>
            </c:ext>
          </c:extLst>
        </c:ser>
        <c:ser>
          <c:idx val="1"/>
          <c:order val="1"/>
          <c:tx>
            <c:strRef>
              <c:f>'Overview geopolitics'!$M$5</c:f>
              <c:strCache>
                <c:ptCount val="1"/>
                <c:pt idx="0">
                  <c:v>Positive</c:v>
                </c:pt>
              </c:strCache>
            </c:strRef>
          </c:tx>
          <c:spPr>
            <a:solidFill>
              <a:schemeClr val="accent2"/>
            </a:solidFill>
            <a:ln>
              <a:noFill/>
            </a:ln>
            <a:effectLst/>
          </c:spPr>
          <c:invertIfNegative val="0"/>
          <c:cat>
            <c:numRef>
              <c:f>'Overview geopolitics'!$K$6:$K$13</c:f>
              <c:numCache>
                <c:formatCode>General</c:formatCode>
                <c:ptCount val="8"/>
                <c:pt idx="0">
                  <c:v>2024</c:v>
                </c:pt>
                <c:pt idx="1">
                  <c:v>2023</c:v>
                </c:pt>
                <c:pt idx="2">
                  <c:v>2022</c:v>
                </c:pt>
                <c:pt idx="3">
                  <c:v>2021</c:v>
                </c:pt>
                <c:pt idx="4">
                  <c:v>2020</c:v>
                </c:pt>
                <c:pt idx="5">
                  <c:v>2019</c:v>
                </c:pt>
                <c:pt idx="6">
                  <c:v>2018</c:v>
                </c:pt>
                <c:pt idx="7">
                  <c:v>2017</c:v>
                </c:pt>
              </c:numCache>
            </c:numRef>
          </c:cat>
          <c:val>
            <c:numRef>
              <c:f>'Overview geopolitics'!$M$6:$M$13</c:f>
              <c:numCache>
                <c:formatCode>0%</c:formatCode>
                <c:ptCount val="8"/>
                <c:pt idx="0">
                  <c:v>0.12258064516129033</c:v>
                </c:pt>
                <c:pt idx="1">
                  <c:v>0.16167664670658682</c:v>
                </c:pt>
                <c:pt idx="2">
                  <c:v>5.5555555555555552E-2</c:v>
                </c:pt>
                <c:pt idx="3">
                  <c:v>0.10857142857142857</c:v>
                </c:pt>
                <c:pt idx="4">
                  <c:v>2.8089887640449437E-2</c:v>
                </c:pt>
                <c:pt idx="5">
                  <c:v>2.0942408376963352E-2</c:v>
                </c:pt>
                <c:pt idx="6">
                  <c:v>8.0246913580246909E-2</c:v>
                </c:pt>
                <c:pt idx="7">
                  <c:v>6.358381502890173E-2</c:v>
                </c:pt>
              </c:numCache>
            </c:numRef>
          </c:val>
          <c:extLst>
            <c:ext xmlns:c16="http://schemas.microsoft.com/office/drawing/2014/chart" uri="{C3380CC4-5D6E-409C-BE32-E72D297353CC}">
              <c16:uniqueId val="{00000001-F771-4678-9683-CC2FDCFB268B}"/>
            </c:ext>
          </c:extLst>
        </c:ser>
        <c:dLbls>
          <c:showLegendKey val="0"/>
          <c:showVal val="0"/>
          <c:showCatName val="0"/>
          <c:showSerName val="0"/>
          <c:showPercent val="0"/>
          <c:showBubbleSize val="0"/>
        </c:dLbls>
        <c:gapWidth val="150"/>
        <c:overlap val="100"/>
        <c:axId val="1127994936"/>
        <c:axId val="1127991000"/>
      </c:barChart>
      <c:catAx>
        <c:axId val="112799493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27991000"/>
        <c:crosses val="autoZero"/>
        <c:auto val="1"/>
        <c:lblAlgn val="ctr"/>
        <c:lblOffset val="100"/>
        <c:noMultiLvlLbl val="0"/>
      </c:catAx>
      <c:valAx>
        <c:axId val="1127991000"/>
        <c:scaling>
          <c:orientation val="minMax"/>
          <c:max val="1"/>
          <c:min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27994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6" ma:contentTypeDescription="Vytvoří nový dokument" ma:contentTypeScope="" ma:versionID="7a1d9d3fc6e9f4e3caf3669a4630e28c">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315eff189518f03c9ed77682e510ed7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4B9FD-6122-413E-A215-95ECA624B930}">
  <ds:schemaRefs>
    <ds:schemaRef ds:uri="http://schemas.openxmlformats.org/officeDocument/2006/bibliography"/>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BF747501-CC8D-4C78-9811-BA7F23B2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1759</Words>
  <Characters>10382</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12117</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2024-02-14T08:20:00Z</dcterms:created>
  <dcterms:modified xsi:type="dcterms:W3CDTF">2024-02-14T08:20:00Z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